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735FBF">
        <w:rPr>
          <w:rFonts w:ascii="Times New Roman" w:eastAsia="Times New Roman" w:hAnsi="Times New Roman" w:cs="Times New Roman"/>
          <w:b/>
          <w:bCs/>
          <w:sz w:val="24"/>
          <w:szCs w:val="24"/>
          <w:lang w:val="pt-PT"/>
        </w:rPr>
        <w:t>26/2021</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lastRenderedPageBreak/>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735FBF">
        <w:rPr>
          <w:rFonts w:ascii="Times New Roman" w:eastAsia="Times New Roman" w:hAnsi="Times New Roman" w:cs="Times New Roman"/>
          <w:b/>
          <w:bCs/>
          <w:sz w:val="24"/>
          <w:szCs w:val="24"/>
          <w:lang w:val="pt-PT"/>
        </w:rPr>
        <w:t>26/2021</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9C7862">
        <w:rPr>
          <w:rFonts w:ascii="Times New Roman" w:hAnsi="Times New Roman" w:cs="Times New Roman"/>
          <w:b/>
          <w:sz w:val="24"/>
          <w:szCs w:val="24"/>
        </w:rPr>
        <w:t xml:space="preserve">DATA DA SESSÃO: </w:t>
      </w:r>
      <w:r w:rsidR="009C7862" w:rsidRPr="009C7862">
        <w:rPr>
          <w:rFonts w:ascii="Times New Roman" w:hAnsi="Times New Roman" w:cs="Times New Roman"/>
          <w:b/>
          <w:sz w:val="24"/>
          <w:szCs w:val="24"/>
        </w:rPr>
        <w:t>04</w:t>
      </w:r>
      <w:r w:rsidRPr="009C7862">
        <w:rPr>
          <w:rFonts w:ascii="Times New Roman" w:hAnsi="Times New Roman" w:cs="Times New Roman"/>
          <w:b/>
          <w:sz w:val="24"/>
          <w:szCs w:val="24"/>
        </w:rPr>
        <w:t>/</w:t>
      </w:r>
      <w:r w:rsidR="009C7862" w:rsidRPr="009C7862">
        <w:rPr>
          <w:rFonts w:ascii="Times New Roman" w:hAnsi="Times New Roman" w:cs="Times New Roman"/>
          <w:b/>
          <w:sz w:val="24"/>
          <w:szCs w:val="24"/>
        </w:rPr>
        <w:t>11</w:t>
      </w:r>
      <w:r w:rsidR="00FF52C5" w:rsidRPr="009C7862">
        <w:rPr>
          <w:rFonts w:ascii="Times New Roman" w:hAnsi="Times New Roman" w:cs="Times New Roman"/>
          <w:b/>
          <w:sz w:val="24"/>
          <w:szCs w:val="24"/>
        </w:rPr>
        <w:t>/2021</w:t>
      </w:r>
    </w:p>
    <w:p w:rsidR="005378D1" w:rsidRPr="005D50C6" w:rsidRDefault="005378D1" w:rsidP="001A33FF">
      <w:pPr>
        <w:tabs>
          <w:tab w:val="left" w:pos="2790"/>
        </w:tabs>
        <w:spacing w:after="0" w:line="240" w:lineRule="auto"/>
        <w:jc w:val="both"/>
        <w:rPr>
          <w:rFonts w:ascii="Times New Roman" w:hAnsi="Times New Roman" w:cs="Times New Roman"/>
          <w:b/>
          <w:sz w:val="24"/>
          <w:szCs w:val="24"/>
        </w:rPr>
      </w:pPr>
      <w:r w:rsidRPr="005D50C6">
        <w:rPr>
          <w:rFonts w:ascii="Times New Roman" w:hAnsi="Times New Roman" w:cs="Times New Roman"/>
          <w:b/>
          <w:sz w:val="24"/>
          <w:szCs w:val="24"/>
        </w:rPr>
        <w:t xml:space="preserve">RECEBIMENTO DAS PROPOSTAS: Das </w:t>
      </w:r>
      <w:r w:rsidR="000E61BC" w:rsidRPr="005D50C6">
        <w:rPr>
          <w:rFonts w:ascii="Times New Roman" w:hAnsi="Times New Roman" w:cs="Times New Roman"/>
          <w:b/>
          <w:sz w:val="24"/>
          <w:szCs w:val="24"/>
        </w:rPr>
        <w:t>13</w:t>
      </w:r>
      <w:r w:rsidRPr="005D50C6">
        <w:rPr>
          <w:rFonts w:ascii="Times New Roman" w:hAnsi="Times New Roman" w:cs="Times New Roman"/>
          <w:b/>
          <w:sz w:val="24"/>
          <w:szCs w:val="24"/>
        </w:rPr>
        <w:t>h</w:t>
      </w:r>
      <w:r w:rsidR="000E61BC" w:rsidRPr="005D50C6">
        <w:rPr>
          <w:rFonts w:ascii="Times New Roman" w:hAnsi="Times New Roman" w:cs="Times New Roman"/>
          <w:b/>
          <w:sz w:val="24"/>
          <w:szCs w:val="24"/>
        </w:rPr>
        <w:t>30min</w:t>
      </w:r>
      <w:r w:rsidRPr="005D50C6">
        <w:rPr>
          <w:rFonts w:ascii="Times New Roman" w:hAnsi="Times New Roman" w:cs="Times New Roman"/>
          <w:b/>
          <w:sz w:val="24"/>
          <w:szCs w:val="24"/>
        </w:rPr>
        <w:t xml:space="preserve"> do dia</w:t>
      </w:r>
      <w:r w:rsidR="000E61BC" w:rsidRPr="005D50C6">
        <w:rPr>
          <w:rFonts w:ascii="Times New Roman" w:hAnsi="Times New Roman" w:cs="Times New Roman"/>
          <w:b/>
          <w:sz w:val="24"/>
          <w:szCs w:val="24"/>
        </w:rPr>
        <w:t xml:space="preserve"> </w:t>
      </w:r>
      <w:r w:rsidR="009C7862" w:rsidRPr="005D50C6">
        <w:rPr>
          <w:rFonts w:ascii="Times New Roman" w:hAnsi="Times New Roman" w:cs="Times New Roman"/>
          <w:b/>
          <w:sz w:val="24"/>
          <w:szCs w:val="24"/>
        </w:rPr>
        <w:t>21</w:t>
      </w:r>
      <w:r w:rsidRPr="005D50C6">
        <w:rPr>
          <w:rFonts w:ascii="Times New Roman" w:hAnsi="Times New Roman" w:cs="Times New Roman"/>
          <w:b/>
          <w:sz w:val="24"/>
          <w:szCs w:val="24"/>
        </w:rPr>
        <w:t>/</w:t>
      </w:r>
      <w:r w:rsidR="005D50C6" w:rsidRPr="005D50C6">
        <w:rPr>
          <w:rFonts w:ascii="Times New Roman" w:hAnsi="Times New Roman" w:cs="Times New Roman"/>
          <w:b/>
          <w:sz w:val="24"/>
          <w:szCs w:val="24"/>
        </w:rPr>
        <w:t>10</w:t>
      </w:r>
      <w:r w:rsidRPr="005D50C6">
        <w:rPr>
          <w:rFonts w:ascii="Times New Roman" w:hAnsi="Times New Roman" w:cs="Times New Roman"/>
          <w:b/>
          <w:sz w:val="24"/>
          <w:szCs w:val="24"/>
        </w:rPr>
        <w:t xml:space="preserve">/2021 </w:t>
      </w:r>
      <w:r w:rsidR="000E61BC" w:rsidRPr="005D50C6">
        <w:rPr>
          <w:rFonts w:ascii="Times New Roman" w:hAnsi="Times New Roman" w:cs="Times New Roman"/>
          <w:b/>
          <w:sz w:val="24"/>
          <w:szCs w:val="24"/>
        </w:rPr>
        <w:t xml:space="preserve">até as </w:t>
      </w:r>
      <w:r w:rsidR="007D610C" w:rsidRPr="005D50C6">
        <w:rPr>
          <w:rFonts w:ascii="Times New Roman" w:hAnsi="Times New Roman" w:cs="Times New Roman"/>
          <w:b/>
          <w:sz w:val="24"/>
          <w:szCs w:val="24"/>
        </w:rPr>
        <w:t>07</w:t>
      </w:r>
      <w:r w:rsidR="000E61BC" w:rsidRPr="005D50C6">
        <w:rPr>
          <w:rFonts w:ascii="Times New Roman" w:hAnsi="Times New Roman" w:cs="Times New Roman"/>
          <w:b/>
          <w:sz w:val="24"/>
          <w:szCs w:val="24"/>
        </w:rPr>
        <w:t>h</w:t>
      </w:r>
      <w:r w:rsidR="007D610C" w:rsidRPr="005D50C6">
        <w:rPr>
          <w:rFonts w:ascii="Times New Roman" w:hAnsi="Times New Roman" w:cs="Times New Roman"/>
          <w:b/>
          <w:sz w:val="24"/>
          <w:szCs w:val="24"/>
        </w:rPr>
        <w:t>59</w:t>
      </w:r>
      <w:r w:rsidR="000E61BC" w:rsidRPr="005D50C6">
        <w:rPr>
          <w:rFonts w:ascii="Times New Roman" w:hAnsi="Times New Roman" w:cs="Times New Roman"/>
          <w:b/>
          <w:sz w:val="24"/>
          <w:szCs w:val="24"/>
        </w:rPr>
        <w:t>min</w:t>
      </w:r>
      <w:r w:rsidRPr="005D50C6">
        <w:rPr>
          <w:rFonts w:ascii="Times New Roman" w:hAnsi="Times New Roman" w:cs="Times New Roman"/>
          <w:b/>
          <w:sz w:val="24"/>
          <w:szCs w:val="24"/>
        </w:rPr>
        <w:t xml:space="preserve"> do dia </w:t>
      </w:r>
      <w:r w:rsidR="005D50C6" w:rsidRPr="005D50C6">
        <w:rPr>
          <w:rFonts w:ascii="Times New Roman" w:hAnsi="Times New Roman" w:cs="Times New Roman"/>
          <w:b/>
          <w:sz w:val="24"/>
          <w:szCs w:val="24"/>
        </w:rPr>
        <w:t>04</w:t>
      </w:r>
      <w:r w:rsidRPr="005D50C6">
        <w:rPr>
          <w:rFonts w:ascii="Times New Roman" w:hAnsi="Times New Roman" w:cs="Times New Roman"/>
          <w:b/>
          <w:sz w:val="24"/>
          <w:szCs w:val="24"/>
        </w:rPr>
        <w:t>/</w:t>
      </w:r>
      <w:r w:rsidR="00661B1C" w:rsidRPr="005D50C6">
        <w:rPr>
          <w:rFonts w:ascii="Times New Roman" w:hAnsi="Times New Roman" w:cs="Times New Roman"/>
          <w:b/>
          <w:sz w:val="24"/>
          <w:szCs w:val="24"/>
        </w:rPr>
        <w:t>1</w:t>
      </w:r>
      <w:r w:rsidR="005D50C6" w:rsidRPr="005D50C6">
        <w:rPr>
          <w:rFonts w:ascii="Times New Roman" w:hAnsi="Times New Roman" w:cs="Times New Roman"/>
          <w:b/>
          <w:sz w:val="24"/>
          <w:szCs w:val="24"/>
        </w:rPr>
        <w:t>1</w:t>
      </w:r>
      <w:r w:rsidRPr="005D50C6">
        <w:rPr>
          <w:rFonts w:ascii="Times New Roman" w:hAnsi="Times New Roman" w:cs="Times New Roman"/>
          <w:b/>
          <w:sz w:val="24"/>
          <w:szCs w:val="24"/>
        </w:rPr>
        <w:t>/2021.</w:t>
      </w:r>
    </w:p>
    <w:p w:rsidR="005378D1" w:rsidRPr="005D50C6" w:rsidRDefault="000E61BC" w:rsidP="001A33FF">
      <w:pPr>
        <w:tabs>
          <w:tab w:val="left" w:pos="2790"/>
        </w:tabs>
        <w:spacing w:after="0" w:line="240" w:lineRule="auto"/>
        <w:jc w:val="both"/>
        <w:rPr>
          <w:rFonts w:ascii="Times New Roman" w:hAnsi="Times New Roman" w:cs="Times New Roman"/>
          <w:b/>
          <w:sz w:val="24"/>
          <w:szCs w:val="24"/>
        </w:rPr>
      </w:pPr>
      <w:r w:rsidRPr="005D50C6">
        <w:rPr>
          <w:rFonts w:ascii="Times New Roman" w:hAnsi="Times New Roman" w:cs="Times New Roman"/>
          <w:b/>
          <w:sz w:val="24"/>
          <w:szCs w:val="24"/>
        </w:rPr>
        <w:t xml:space="preserve">ABERTURA DAS PROPOSTAS: </w:t>
      </w:r>
      <w:r w:rsidR="007D610C" w:rsidRPr="005D50C6">
        <w:rPr>
          <w:rFonts w:ascii="Times New Roman" w:hAnsi="Times New Roman" w:cs="Times New Roman"/>
          <w:b/>
          <w:sz w:val="24"/>
          <w:szCs w:val="24"/>
        </w:rPr>
        <w:t>À</w:t>
      </w:r>
      <w:r w:rsidR="005378D1" w:rsidRPr="005D50C6">
        <w:rPr>
          <w:rFonts w:ascii="Times New Roman" w:hAnsi="Times New Roman" w:cs="Times New Roman"/>
          <w:b/>
          <w:sz w:val="24"/>
          <w:szCs w:val="24"/>
        </w:rPr>
        <w:t xml:space="preserve">s </w:t>
      </w:r>
      <w:r w:rsidR="007D610C" w:rsidRPr="005D50C6">
        <w:rPr>
          <w:rFonts w:ascii="Times New Roman" w:hAnsi="Times New Roman" w:cs="Times New Roman"/>
          <w:b/>
          <w:sz w:val="24"/>
          <w:szCs w:val="24"/>
        </w:rPr>
        <w:t>08</w:t>
      </w:r>
      <w:r w:rsidR="005378D1" w:rsidRPr="005D50C6">
        <w:rPr>
          <w:rFonts w:ascii="Times New Roman" w:hAnsi="Times New Roman" w:cs="Times New Roman"/>
          <w:b/>
          <w:sz w:val="24"/>
          <w:szCs w:val="24"/>
        </w:rPr>
        <w:t>h</w:t>
      </w:r>
      <w:r w:rsidRPr="005D50C6">
        <w:rPr>
          <w:rFonts w:ascii="Times New Roman" w:hAnsi="Times New Roman" w:cs="Times New Roman"/>
          <w:b/>
          <w:sz w:val="24"/>
          <w:szCs w:val="24"/>
        </w:rPr>
        <w:t>0</w:t>
      </w:r>
      <w:r w:rsidR="005378D1" w:rsidRPr="005D50C6">
        <w:rPr>
          <w:rFonts w:ascii="Times New Roman" w:hAnsi="Times New Roman" w:cs="Times New Roman"/>
          <w:b/>
          <w:sz w:val="24"/>
          <w:szCs w:val="24"/>
        </w:rPr>
        <w:t>0min do dia</w:t>
      </w:r>
      <w:r w:rsidR="007D610C" w:rsidRPr="005D50C6">
        <w:rPr>
          <w:rFonts w:ascii="Times New Roman" w:hAnsi="Times New Roman" w:cs="Times New Roman"/>
          <w:b/>
          <w:sz w:val="24"/>
          <w:szCs w:val="24"/>
        </w:rPr>
        <w:t xml:space="preserve"> </w:t>
      </w:r>
      <w:r w:rsidR="005D50C6" w:rsidRPr="005D50C6">
        <w:rPr>
          <w:rFonts w:ascii="Times New Roman" w:hAnsi="Times New Roman" w:cs="Times New Roman"/>
          <w:b/>
          <w:sz w:val="24"/>
          <w:szCs w:val="24"/>
        </w:rPr>
        <w:t>04/11</w:t>
      </w:r>
      <w:r w:rsidR="005378D1" w:rsidRPr="005D50C6">
        <w:rPr>
          <w:rFonts w:ascii="Times New Roman" w:hAnsi="Times New Roman" w:cs="Times New Roman"/>
          <w:b/>
          <w:sz w:val="24"/>
          <w:szCs w:val="24"/>
        </w:rPr>
        <w:t>/2021.</w:t>
      </w:r>
    </w:p>
    <w:p w:rsidR="005378D1" w:rsidRPr="005D50C6" w:rsidRDefault="000E61BC" w:rsidP="001A33FF">
      <w:pPr>
        <w:tabs>
          <w:tab w:val="left" w:pos="2790"/>
        </w:tabs>
        <w:spacing w:after="0" w:line="240" w:lineRule="auto"/>
        <w:jc w:val="both"/>
        <w:rPr>
          <w:rFonts w:ascii="Times New Roman" w:hAnsi="Times New Roman" w:cs="Times New Roman"/>
          <w:b/>
          <w:sz w:val="24"/>
          <w:szCs w:val="24"/>
        </w:rPr>
      </w:pPr>
      <w:r w:rsidRPr="005D50C6">
        <w:rPr>
          <w:rFonts w:ascii="Times New Roman" w:hAnsi="Times New Roman" w:cs="Times New Roman"/>
          <w:b/>
          <w:sz w:val="24"/>
          <w:szCs w:val="24"/>
        </w:rPr>
        <w:t>ABERTURA DA</w:t>
      </w:r>
      <w:r w:rsidR="005378D1" w:rsidRPr="005D50C6">
        <w:rPr>
          <w:rFonts w:ascii="Times New Roman" w:hAnsi="Times New Roman" w:cs="Times New Roman"/>
          <w:b/>
          <w:sz w:val="24"/>
          <w:szCs w:val="24"/>
        </w:rPr>
        <w:t xml:space="preserve"> SESSÃO DA DISPUTA DE PREÇOS: </w:t>
      </w:r>
      <w:r w:rsidR="0029384F" w:rsidRPr="005D50C6">
        <w:rPr>
          <w:rFonts w:ascii="Times New Roman" w:hAnsi="Times New Roman" w:cs="Times New Roman"/>
          <w:b/>
          <w:sz w:val="24"/>
          <w:szCs w:val="24"/>
        </w:rPr>
        <w:t>08</w:t>
      </w:r>
      <w:r w:rsidR="00661B1C" w:rsidRPr="005D50C6">
        <w:rPr>
          <w:rFonts w:ascii="Times New Roman" w:hAnsi="Times New Roman" w:cs="Times New Roman"/>
          <w:b/>
          <w:sz w:val="24"/>
          <w:szCs w:val="24"/>
        </w:rPr>
        <w:t>h03</w:t>
      </w:r>
      <w:r w:rsidR="005378D1" w:rsidRPr="005D50C6">
        <w:rPr>
          <w:rFonts w:ascii="Times New Roman" w:hAnsi="Times New Roman" w:cs="Times New Roman"/>
          <w:b/>
          <w:sz w:val="24"/>
          <w:szCs w:val="24"/>
        </w:rPr>
        <w:t>min do</w:t>
      </w:r>
      <w:r w:rsidRPr="005D50C6">
        <w:rPr>
          <w:rFonts w:ascii="Times New Roman" w:hAnsi="Times New Roman" w:cs="Times New Roman"/>
          <w:b/>
          <w:sz w:val="24"/>
          <w:szCs w:val="24"/>
        </w:rPr>
        <w:t xml:space="preserve"> dia </w:t>
      </w:r>
      <w:r w:rsidR="005D50C6" w:rsidRPr="005D50C6">
        <w:rPr>
          <w:rFonts w:ascii="Times New Roman" w:hAnsi="Times New Roman" w:cs="Times New Roman"/>
          <w:b/>
          <w:sz w:val="24"/>
          <w:szCs w:val="24"/>
        </w:rPr>
        <w:t>04</w:t>
      </w:r>
      <w:r w:rsidR="005378D1" w:rsidRPr="005D50C6">
        <w:rPr>
          <w:rFonts w:ascii="Times New Roman" w:hAnsi="Times New Roman" w:cs="Times New Roman"/>
          <w:b/>
          <w:sz w:val="24"/>
          <w:szCs w:val="24"/>
        </w:rPr>
        <w:t>/</w:t>
      </w:r>
      <w:r w:rsidR="005D50C6" w:rsidRPr="005D50C6">
        <w:rPr>
          <w:rFonts w:ascii="Times New Roman" w:hAnsi="Times New Roman" w:cs="Times New Roman"/>
          <w:b/>
          <w:sz w:val="24"/>
          <w:szCs w:val="24"/>
        </w:rPr>
        <w:t>11</w:t>
      </w:r>
      <w:r w:rsidR="005378D1" w:rsidRPr="005D50C6">
        <w:rPr>
          <w:rFonts w:ascii="Times New Roman" w:hAnsi="Times New Roman" w:cs="Times New Roman"/>
          <w:b/>
          <w:sz w:val="24"/>
          <w:szCs w:val="24"/>
        </w:rPr>
        <w:t>/2021.</w:t>
      </w:r>
    </w:p>
    <w:p w:rsidR="005378D1" w:rsidRPr="005D50C6" w:rsidRDefault="00FF52C5" w:rsidP="001A33FF">
      <w:pPr>
        <w:tabs>
          <w:tab w:val="left" w:pos="2790"/>
        </w:tabs>
        <w:spacing w:after="0" w:line="240" w:lineRule="auto"/>
        <w:jc w:val="both"/>
        <w:rPr>
          <w:rFonts w:ascii="Times New Roman" w:hAnsi="Times New Roman" w:cs="Times New Roman"/>
          <w:b/>
          <w:sz w:val="24"/>
          <w:szCs w:val="24"/>
        </w:rPr>
      </w:pPr>
      <w:r w:rsidRPr="005D50C6">
        <w:rPr>
          <w:rFonts w:ascii="Times New Roman" w:hAnsi="Times New Roman" w:cs="Times New Roman"/>
          <w:b/>
          <w:sz w:val="24"/>
          <w:szCs w:val="24"/>
        </w:rPr>
        <w:t>REFERÊNCIA DE TEMPO: H</w:t>
      </w:r>
      <w:r w:rsidR="005378D1" w:rsidRPr="005D50C6">
        <w:rPr>
          <w:rFonts w:ascii="Times New Roman" w:hAnsi="Times New Roman" w:cs="Times New Roman"/>
          <w:b/>
          <w:sz w:val="24"/>
          <w:szCs w:val="24"/>
        </w:rPr>
        <w:t>orário de Brasília (DF).</w:t>
      </w:r>
    </w:p>
    <w:p w:rsidR="005378D1" w:rsidRPr="005D50C6" w:rsidRDefault="005378D1" w:rsidP="001A33FF">
      <w:pPr>
        <w:tabs>
          <w:tab w:val="left" w:pos="2790"/>
        </w:tabs>
        <w:spacing w:after="0" w:line="240" w:lineRule="auto"/>
        <w:jc w:val="both"/>
        <w:rPr>
          <w:rFonts w:ascii="Times New Roman" w:hAnsi="Times New Roman" w:cs="Times New Roman"/>
          <w:b/>
          <w:sz w:val="24"/>
          <w:szCs w:val="24"/>
        </w:rPr>
      </w:pPr>
      <w:r w:rsidRPr="005D50C6">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5D50C6">
        <w:rPr>
          <w:rFonts w:ascii="Times New Roman" w:hAnsi="Times New Roman" w:cs="Times New Roman"/>
          <w:b/>
          <w:sz w:val="24"/>
          <w:szCs w:val="24"/>
        </w:rPr>
        <w:t>As propostas serão encaminhadas exclusivamente por meio do s</w:t>
      </w:r>
      <w:r w:rsidR="0029384F" w:rsidRPr="005D50C6">
        <w:rPr>
          <w:rFonts w:ascii="Times New Roman" w:hAnsi="Times New Roman" w:cs="Times New Roman"/>
          <w:b/>
          <w:sz w:val="24"/>
          <w:szCs w:val="24"/>
        </w:rPr>
        <w:t>istema eletrônico até a</w:t>
      </w:r>
      <w:r w:rsidRPr="005D50C6">
        <w:rPr>
          <w:rFonts w:ascii="Times New Roman" w:hAnsi="Times New Roman" w:cs="Times New Roman"/>
          <w:b/>
          <w:sz w:val="24"/>
          <w:szCs w:val="24"/>
        </w:rPr>
        <w:t xml:space="preserve">s </w:t>
      </w:r>
      <w:r w:rsidR="0029384F" w:rsidRPr="005D50C6">
        <w:rPr>
          <w:rFonts w:ascii="Times New Roman" w:hAnsi="Times New Roman" w:cs="Times New Roman"/>
          <w:b/>
          <w:sz w:val="24"/>
          <w:szCs w:val="24"/>
        </w:rPr>
        <w:t>07h59</w:t>
      </w:r>
      <w:r w:rsidR="000E61BC" w:rsidRPr="005D50C6">
        <w:rPr>
          <w:rFonts w:ascii="Times New Roman" w:hAnsi="Times New Roman" w:cs="Times New Roman"/>
          <w:b/>
          <w:sz w:val="24"/>
          <w:szCs w:val="24"/>
        </w:rPr>
        <w:t xml:space="preserve">min do dia </w:t>
      </w:r>
      <w:r w:rsidR="005D50C6">
        <w:rPr>
          <w:rFonts w:ascii="Times New Roman" w:hAnsi="Times New Roman" w:cs="Times New Roman"/>
          <w:b/>
          <w:sz w:val="24"/>
          <w:szCs w:val="24"/>
        </w:rPr>
        <w:t>04</w:t>
      </w:r>
      <w:r w:rsidRPr="005D50C6">
        <w:rPr>
          <w:rFonts w:ascii="Times New Roman" w:hAnsi="Times New Roman" w:cs="Times New Roman"/>
          <w:b/>
          <w:sz w:val="24"/>
          <w:szCs w:val="24"/>
        </w:rPr>
        <w:t>/</w:t>
      </w:r>
      <w:r w:rsidR="00661B1C" w:rsidRPr="005D50C6">
        <w:rPr>
          <w:rFonts w:ascii="Times New Roman" w:hAnsi="Times New Roman" w:cs="Times New Roman"/>
          <w:b/>
          <w:sz w:val="24"/>
          <w:szCs w:val="24"/>
        </w:rPr>
        <w:t>1</w:t>
      </w:r>
      <w:r w:rsidR="005D50C6">
        <w:rPr>
          <w:rFonts w:ascii="Times New Roman" w:hAnsi="Times New Roman" w:cs="Times New Roman"/>
          <w:b/>
          <w:sz w:val="24"/>
          <w:szCs w:val="24"/>
        </w:rPr>
        <w:t>1</w:t>
      </w:r>
      <w:r w:rsidRPr="005D50C6">
        <w:rPr>
          <w:rFonts w:ascii="Times New Roman" w:hAnsi="Times New Roman" w:cs="Times New Roman"/>
          <w:b/>
          <w:sz w:val="24"/>
          <w:szCs w:val="24"/>
        </w:rPr>
        <w:t>/2021.</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705349">
        <w:rPr>
          <w:rFonts w:ascii="Times New Roman" w:hAnsi="Times New Roman" w:cs="Times New Roman"/>
          <w:b/>
          <w:sz w:val="24"/>
          <w:szCs w:val="24"/>
        </w:rPr>
        <w:t xml:space="preserve">AQUISIÇÃO DE MATERIAL ELÉTRICO E EQUIPAMENTOS DE </w:t>
      </w:r>
      <w:r w:rsidR="00735FBF">
        <w:rPr>
          <w:rFonts w:ascii="Times New Roman" w:hAnsi="Times New Roman" w:cs="Times New Roman"/>
          <w:b/>
          <w:sz w:val="24"/>
          <w:szCs w:val="24"/>
        </w:rPr>
        <w:t>ILUMINAÇÃO</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30185" w:rsidRDefault="00510BE8"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 xml:space="preserve">.1. </w:t>
      </w:r>
      <w:r w:rsidR="00F30185" w:rsidRPr="00F832BB">
        <w:rPr>
          <w:rFonts w:ascii="Times New Roman" w:hAnsi="Times New Roman" w:cs="Times New Roman"/>
          <w:sz w:val="24"/>
          <w:szCs w:val="24"/>
        </w:rPr>
        <w:t xml:space="preserve">A entrega dos produtos deverá ser feita </w:t>
      </w:r>
      <w:r w:rsidR="00F30185">
        <w:rPr>
          <w:rFonts w:ascii="Times New Roman" w:hAnsi="Times New Roman" w:cs="Times New Roman"/>
          <w:sz w:val="24"/>
          <w:szCs w:val="24"/>
        </w:rPr>
        <w:t xml:space="preserve">de acordo com </w:t>
      </w:r>
      <w:r w:rsidR="00F30185" w:rsidRPr="00661B1C">
        <w:rPr>
          <w:rFonts w:ascii="Times New Roman" w:hAnsi="Times New Roman" w:cs="Times New Roman"/>
          <w:sz w:val="24"/>
          <w:szCs w:val="24"/>
        </w:rPr>
        <w:t xml:space="preserve">o </w:t>
      </w:r>
      <w:r w:rsidR="00F30185" w:rsidRPr="00B70027">
        <w:rPr>
          <w:rFonts w:ascii="Times New Roman" w:hAnsi="Times New Roman" w:cs="Times New Roman"/>
          <w:sz w:val="24"/>
          <w:szCs w:val="24"/>
        </w:rPr>
        <w:t xml:space="preserve">ANEXO </w:t>
      </w:r>
      <w:r w:rsidR="00735FBF" w:rsidRPr="00B70027">
        <w:rPr>
          <w:rFonts w:ascii="Times New Roman" w:hAnsi="Times New Roman" w:cs="Times New Roman"/>
          <w:sz w:val="24"/>
          <w:szCs w:val="24"/>
        </w:rPr>
        <w:t>I</w:t>
      </w:r>
      <w:r w:rsidR="00F30185" w:rsidRPr="00B70027">
        <w:rPr>
          <w:rFonts w:ascii="Times New Roman" w:hAnsi="Times New Roman" w:cs="Times New Roman"/>
          <w:sz w:val="24"/>
          <w:szCs w:val="24"/>
        </w:rPr>
        <w:t>, nas</w:t>
      </w:r>
      <w:r w:rsidR="00F30185">
        <w:rPr>
          <w:rFonts w:ascii="Times New Roman" w:hAnsi="Times New Roman" w:cs="Times New Roman"/>
          <w:sz w:val="24"/>
          <w:szCs w:val="24"/>
        </w:rPr>
        <w:t xml:space="preserve"> quantidades </w:t>
      </w:r>
      <w:r w:rsidR="00735FBF">
        <w:rPr>
          <w:rFonts w:ascii="Times New Roman" w:hAnsi="Times New Roman" w:cs="Times New Roman"/>
          <w:sz w:val="24"/>
          <w:szCs w:val="24"/>
        </w:rPr>
        <w:t>e especificações indicadas</w:t>
      </w:r>
      <w:r w:rsidR="00B70027">
        <w:rPr>
          <w:rFonts w:ascii="Times New Roman" w:hAnsi="Times New Roman" w:cs="Times New Roman"/>
          <w:sz w:val="24"/>
          <w:szCs w:val="24"/>
        </w:rPr>
        <w:t>, diretamente na Prefeitura, no endereço Largo Adolfo Albino Werlang, 14, Centro, 99450-000</w:t>
      </w:r>
      <w:r w:rsidR="00735FBF">
        <w:rPr>
          <w:rFonts w:ascii="Times New Roman" w:hAnsi="Times New Roman" w:cs="Times New Roman"/>
          <w:sz w:val="24"/>
          <w:szCs w:val="24"/>
        </w:rPr>
        <w:t>.</w:t>
      </w:r>
    </w:p>
    <w:p w:rsidR="00F30185" w:rsidRDefault="00F30185"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O fornecimento deverá ocorrer</w:t>
      </w:r>
      <w:r w:rsidR="00E7124E">
        <w:rPr>
          <w:rFonts w:ascii="Times New Roman" w:hAnsi="Times New Roman" w:cs="Times New Roman"/>
          <w:sz w:val="24"/>
          <w:szCs w:val="24"/>
        </w:rPr>
        <w:t xml:space="preserve"> em sua totalidade</w:t>
      </w:r>
      <w:r>
        <w:rPr>
          <w:rFonts w:ascii="Times New Roman" w:hAnsi="Times New Roman" w:cs="Times New Roman"/>
          <w:sz w:val="24"/>
          <w:szCs w:val="24"/>
        </w:rPr>
        <w:t xml:space="preserve"> em </w:t>
      </w:r>
      <w:r w:rsidRPr="00F663DB">
        <w:rPr>
          <w:rFonts w:ascii="Times New Roman" w:hAnsi="Times New Roman" w:cs="Times New Roman"/>
          <w:sz w:val="24"/>
          <w:szCs w:val="24"/>
        </w:rPr>
        <w:t xml:space="preserve">até </w:t>
      </w:r>
      <w:r w:rsidRPr="00F663DB">
        <w:rPr>
          <w:rFonts w:ascii="Times New Roman" w:hAnsi="Times New Roman" w:cs="Times New Roman"/>
          <w:b/>
          <w:sz w:val="24"/>
          <w:szCs w:val="24"/>
          <w:u w:val="single"/>
        </w:rPr>
        <w:t xml:space="preserve">10 (dez) dias </w:t>
      </w:r>
      <w:r w:rsidR="00F663DB" w:rsidRPr="00F663DB">
        <w:rPr>
          <w:rFonts w:ascii="Times New Roman" w:hAnsi="Times New Roman" w:cs="Times New Roman"/>
          <w:b/>
          <w:sz w:val="24"/>
          <w:szCs w:val="24"/>
          <w:u w:val="single"/>
        </w:rPr>
        <w:t>corridos</w:t>
      </w:r>
      <w:r>
        <w:rPr>
          <w:rFonts w:ascii="Times New Roman" w:hAnsi="Times New Roman" w:cs="Times New Roman"/>
          <w:sz w:val="24"/>
          <w:szCs w:val="24"/>
        </w:rPr>
        <w:t xml:space="preserve"> a contar do recebimento da nota de empenho, </w:t>
      </w:r>
      <w:r w:rsidRPr="004B5E0D">
        <w:rPr>
          <w:rFonts w:ascii="Times New Roman" w:hAnsi="Times New Roman" w:cs="Times New Roman"/>
          <w:sz w:val="24"/>
          <w:szCs w:val="24"/>
          <w:u w:val="single"/>
        </w:rPr>
        <w:t>não sendo admitidos atrasos na entrega</w:t>
      </w:r>
      <w:r>
        <w:rPr>
          <w:rFonts w:ascii="Times New Roman" w:hAnsi="Times New Roman" w:cs="Times New Roman"/>
          <w:sz w:val="24"/>
          <w:szCs w:val="24"/>
        </w:rPr>
        <w:t>.</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3</w:t>
      </w:r>
      <w:r w:rsidR="00510BE8" w:rsidRPr="00510BE8">
        <w:rPr>
          <w:rFonts w:ascii="Times New Roman" w:hAnsi="Times New Roman" w:cs="Times New Roman"/>
          <w:sz w:val="24"/>
          <w:szCs w:val="24"/>
        </w:rPr>
        <w:t xml:space="preserve"> </w:t>
      </w:r>
      <w:r w:rsidR="00F30185">
        <w:rPr>
          <w:rFonts w:ascii="Times New Roman" w:hAnsi="Times New Roman" w:cs="Times New Roman"/>
          <w:sz w:val="24"/>
          <w:szCs w:val="24"/>
        </w:rPr>
        <w:t>Os produtos</w:t>
      </w:r>
      <w:r w:rsidR="00510BE8" w:rsidRPr="00510BE8">
        <w:rPr>
          <w:rFonts w:ascii="Times New Roman" w:hAnsi="Times New Roman" w:cs="Times New Roman"/>
          <w:sz w:val="24"/>
          <w:szCs w:val="24"/>
        </w:rPr>
        <w:t xml:space="preserve"> deverão ser ofertados, apresentados</w:t>
      </w:r>
      <w:r w:rsidR="00F30185">
        <w:rPr>
          <w:rFonts w:ascii="Times New Roman" w:hAnsi="Times New Roman" w:cs="Times New Roman"/>
          <w:sz w:val="24"/>
          <w:szCs w:val="24"/>
        </w:rPr>
        <w:t xml:space="preserve"> e entregues contendo todas as informações solicitadas no edital.</w:t>
      </w:r>
      <w:r w:rsidR="00972111">
        <w:rPr>
          <w:rFonts w:ascii="Times New Roman" w:hAnsi="Times New Roman" w:cs="Times New Roman"/>
          <w:sz w:val="24"/>
          <w:szCs w:val="24"/>
        </w:rPr>
        <w:t xml:space="preserve"> </w:t>
      </w:r>
    </w:p>
    <w:p w:rsid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4</w:t>
      </w:r>
      <w:r w:rsidR="00510BE8" w:rsidRPr="00510BE8">
        <w:rPr>
          <w:rFonts w:ascii="Times New Roman" w:hAnsi="Times New Roman" w:cs="Times New Roman"/>
          <w:sz w:val="24"/>
          <w:szCs w:val="24"/>
        </w:rPr>
        <w:t xml:space="preserve"> Não serão aceitos</w:t>
      </w:r>
      <w:r w:rsidR="00F30185">
        <w:rPr>
          <w:rFonts w:ascii="Times New Roman" w:hAnsi="Times New Roman" w:cs="Times New Roman"/>
          <w:sz w:val="24"/>
          <w:szCs w:val="24"/>
        </w:rPr>
        <w:t xml:space="preserve"> no momento da entrega</w:t>
      </w:r>
      <w:r w:rsidR="00510BE8" w:rsidRPr="00510BE8">
        <w:rPr>
          <w:rFonts w:ascii="Times New Roman" w:hAnsi="Times New Roman" w:cs="Times New Roman"/>
          <w:sz w:val="24"/>
          <w:szCs w:val="24"/>
        </w:rPr>
        <w:t xml:space="preserve"> fabricante e/ou marca diferentes daqueles co</w:t>
      </w:r>
      <w:r>
        <w:rPr>
          <w:rFonts w:ascii="Times New Roman" w:hAnsi="Times New Roman" w:cs="Times New Roman"/>
          <w:sz w:val="24"/>
          <w:szCs w:val="24"/>
        </w:rPr>
        <w:t>nstantes na proposta vencedora.</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.5</w:t>
      </w:r>
      <w:r w:rsidR="00510BE8" w:rsidRPr="00510BE8">
        <w:rPr>
          <w:rFonts w:ascii="Times New Roman" w:hAnsi="Times New Roman" w:cs="Times New Roman"/>
          <w:sz w:val="24"/>
          <w:szCs w:val="24"/>
        </w:rPr>
        <w:t xml:space="preserve"> Além da entrega no local designado pelo Município, </w:t>
      </w:r>
      <w:r w:rsidR="004B5E0D">
        <w:rPr>
          <w:rFonts w:ascii="Times New Roman" w:hAnsi="Times New Roman" w:cs="Times New Roman"/>
          <w:sz w:val="24"/>
          <w:szCs w:val="24"/>
        </w:rPr>
        <w:t xml:space="preserve">deverá a licitante vencedora </w:t>
      </w:r>
      <w:r w:rsidR="00510BE8" w:rsidRPr="00510BE8">
        <w:rPr>
          <w:rFonts w:ascii="Times New Roman" w:hAnsi="Times New Roman" w:cs="Times New Roman"/>
          <w:sz w:val="24"/>
          <w:szCs w:val="24"/>
        </w:rPr>
        <w:t>descarregar e armazenar os produtos no local indicado por servidor, comprometendo-se, ainda, integralmente, com eventuais danos causados a estes.</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w:t>
      </w:r>
      <w:r w:rsidR="002A6A9E">
        <w:rPr>
          <w:rFonts w:ascii="Times New Roman" w:hAnsi="Times New Roman" w:cs="Times New Roman"/>
          <w:sz w:val="24"/>
          <w:szCs w:val="24"/>
        </w:rPr>
        <w:t xml:space="preserve">ação da declaração constante nos anexos </w:t>
      </w:r>
      <w:r w:rsidRPr="00F832BB">
        <w:rPr>
          <w:rFonts w:ascii="Times New Roman" w:hAnsi="Times New Roman" w:cs="Times New Roman"/>
          <w:sz w:val="24"/>
          <w:szCs w:val="24"/>
        </w:rPr>
        <w:t>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E7124E">
        <w:rPr>
          <w:rFonts w:ascii="Times New Roman" w:hAnsi="Times New Roman" w:cs="Times New Roman"/>
          <w:sz w:val="24"/>
          <w:szCs w:val="24"/>
        </w:rPr>
        <w:t>duas</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sidRPr="00C66A68">
        <w:rPr>
          <w:rFonts w:ascii="Times New Roman" w:hAnsi="Times New Roman" w:cs="Times New Roman"/>
          <w:sz w:val="24"/>
          <w:szCs w:val="24"/>
        </w:rPr>
        <w:t>g) A licitante deverá informar em sua proposta, fabricante</w:t>
      </w:r>
      <w:r w:rsidR="00C66A68" w:rsidRPr="00C66A68">
        <w:rPr>
          <w:rFonts w:ascii="Times New Roman" w:hAnsi="Times New Roman" w:cs="Times New Roman"/>
          <w:sz w:val="24"/>
          <w:szCs w:val="24"/>
        </w:rPr>
        <w:t>, marca e modelo (no que se aplicar)</w:t>
      </w:r>
      <w:r w:rsidRPr="00C66A68">
        <w:rPr>
          <w:rFonts w:ascii="Times New Roman" w:hAnsi="Times New Roman" w:cs="Times New Roman"/>
          <w:sz w:val="24"/>
          <w:szCs w:val="24"/>
        </w:rPr>
        <w:t xml:space="preserve"> dos </w:t>
      </w:r>
      <w:r w:rsidR="00C66A68" w:rsidRPr="00C66A68">
        <w:rPr>
          <w:rFonts w:ascii="Times New Roman" w:hAnsi="Times New Roman" w:cs="Times New Roman"/>
          <w:sz w:val="24"/>
          <w:szCs w:val="24"/>
        </w:rPr>
        <w:t>produtos</w:t>
      </w:r>
      <w:r w:rsidRPr="00C66A68">
        <w:rPr>
          <w:rFonts w:ascii="Times New Roman" w:hAnsi="Times New Roman" w:cs="Times New Roman"/>
          <w:sz w:val="24"/>
          <w:szCs w:val="24"/>
        </w:rPr>
        <w:t>.</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w:t>
      </w:r>
      <w:r w:rsidR="00C66A68">
        <w:rPr>
          <w:rFonts w:ascii="Times New Roman" w:hAnsi="Times New Roman" w:cs="Times New Roman"/>
          <w:sz w:val="24"/>
          <w:szCs w:val="24"/>
        </w:rPr>
        <w:t>1</w:t>
      </w:r>
      <w:r w:rsidRPr="00B62C18">
        <w:rPr>
          <w:rFonts w:ascii="Times New Roman" w:hAnsi="Times New Roman" w:cs="Times New Roman"/>
          <w:sz w:val="24"/>
          <w:szCs w:val="24"/>
        </w:rPr>
        <w:t xml:space="preserve"> Não serão aceitos, no momento da entrega, </w:t>
      </w:r>
      <w:r w:rsidR="00C66A68">
        <w:rPr>
          <w:rFonts w:ascii="Times New Roman" w:hAnsi="Times New Roman" w:cs="Times New Roman"/>
          <w:sz w:val="24"/>
          <w:szCs w:val="24"/>
        </w:rPr>
        <w:t>produtos</w:t>
      </w:r>
      <w:r w:rsidRPr="00B62C18">
        <w:rPr>
          <w:rFonts w:ascii="Times New Roman" w:hAnsi="Times New Roman" w:cs="Times New Roman"/>
          <w:sz w:val="24"/>
          <w:szCs w:val="24"/>
        </w:rPr>
        <w:t xml:space="preserve">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F832BB"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lastRenderedPageBreak/>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w:t>
      </w:r>
      <w:proofErr w:type="spellStart"/>
      <w:r w:rsidRPr="0070351D">
        <w:rPr>
          <w:rFonts w:ascii="Times New Roman" w:hAnsi="Times New Roman" w:cs="Times New Roman"/>
          <w:sz w:val="24"/>
          <w:szCs w:val="24"/>
        </w:rPr>
        <w:t>superiores</w:t>
      </w:r>
      <w:proofErr w:type="spellEnd"/>
      <w:r w:rsidRPr="0070351D">
        <w:rPr>
          <w:rFonts w:ascii="Times New Roman" w:hAnsi="Times New Roman" w:cs="Times New Roman"/>
          <w:sz w:val="24"/>
          <w:szCs w:val="24"/>
        </w:rPr>
        <w:t xml:space="preserve">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C66A68" w:rsidRDefault="0007788A" w:rsidP="00602596">
      <w:pPr>
        <w:tabs>
          <w:tab w:val="left" w:pos="2790"/>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C66A68" w:rsidRDefault="002E0541" w:rsidP="0007788A">
      <w:pPr>
        <w:tabs>
          <w:tab w:val="left" w:pos="709"/>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 xml:space="preserve">9.15 </w:t>
      </w:r>
      <w:r w:rsidR="0007788A" w:rsidRPr="00C66A68">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 xml:space="preserve">Prova de </w:t>
      </w:r>
      <w:r w:rsidR="00F832BB" w:rsidRPr="00C66A68">
        <w:rPr>
          <w:rFonts w:ascii="Times New Roman" w:hAnsi="Times New Roman" w:cs="Times New Roman"/>
          <w:b/>
          <w:sz w:val="24"/>
          <w:szCs w:val="24"/>
        </w:rPr>
        <w:t>inscrição no Cadastro Nacional de Pessoas Jurídicas</w:t>
      </w:r>
      <w:r w:rsidRPr="00C66A68">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 xml:space="preserve">rova de </w:t>
      </w:r>
      <w:r w:rsidR="00F832BB" w:rsidRPr="00D90264">
        <w:rPr>
          <w:rFonts w:ascii="Times New Roman" w:hAnsi="Times New Roman" w:cs="Times New Roman"/>
          <w:b/>
          <w:sz w:val="24"/>
          <w:szCs w:val="24"/>
        </w:rPr>
        <w:t>regularidade com o Fundo de Garantia do Tempo de Serviço</w:t>
      </w:r>
      <w:r w:rsidR="00F832BB" w:rsidRPr="00F832BB">
        <w:rPr>
          <w:rFonts w:ascii="Times New Roman" w:hAnsi="Times New Roman" w:cs="Times New Roman"/>
          <w:sz w:val="24"/>
          <w:szCs w:val="24"/>
        </w:rPr>
        <w:t xml:space="preserve">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D90264">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C256D7"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C256D7">
            <w:pPr>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C256D7">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9.17</w:t>
      </w:r>
      <w:r w:rsidRPr="00D90264">
        <w:rPr>
          <w:rFonts w:ascii="Times New Roman" w:hAnsi="Times New Roman" w:cs="Times New Roman"/>
          <w:sz w:val="24"/>
          <w:szCs w:val="24"/>
        </w:rPr>
        <w:t>.2</w:t>
      </w:r>
      <w:r w:rsidRPr="00D90264">
        <w:rPr>
          <w:rFonts w:ascii="Times New Roman" w:hAnsi="Times New Roman" w:cs="Times New Roman"/>
          <w:b/>
          <w:sz w:val="24"/>
          <w:szCs w:val="24"/>
        </w:rPr>
        <w:t xml:space="preserve"> 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 xml:space="preserve">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w:t>
      </w:r>
      <w:r w:rsidR="00F832BB" w:rsidRPr="00F832BB">
        <w:rPr>
          <w:rFonts w:ascii="Times New Roman" w:hAnsi="Times New Roman" w:cs="Times New Roman"/>
          <w:sz w:val="24"/>
          <w:szCs w:val="24"/>
        </w:rPr>
        <w:lastRenderedPageBreak/>
        <w:t>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PAGAMENTO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611BCC">
        <w:rPr>
          <w:rFonts w:ascii="Times New Roman" w:hAnsi="Times New Roman" w:cs="Times New Roman"/>
          <w:color w:val="000000" w:themeColor="text1"/>
          <w:sz w:val="24"/>
          <w:szCs w:val="24"/>
        </w:rPr>
        <w:t>14</w:t>
      </w:r>
      <w:r w:rsidR="00DD4BA7" w:rsidRPr="00611BCC">
        <w:rPr>
          <w:rFonts w:ascii="Times New Roman" w:hAnsi="Times New Roman" w:cs="Times New Roman"/>
          <w:color w:val="000000" w:themeColor="text1"/>
          <w:sz w:val="24"/>
          <w:szCs w:val="24"/>
        </w:rPr>
        <w:t>.</w:t>
      </w:r>
      <w:r w:rsidR="00F15801" w:rsidRPr="00611BCC">
        <w:rPr>
          <w:rFonts w:ascii="Times New Roman" w:hAnsi="Times New Roman" w:cs="Times New Roman"/>
          <w:color w:val="000000" w:themeColor="text1"/>
          <w:sz w:val="24"/>
          <w:szCs w:val="24"/>
        </w:rPr>
        <w:t>1</w:t>
      </w:r>
      <w:r w:rsidR="00DD4BA7" w:rsidRPr="00611BCC">
        <w:rPr>
          <w:rFonts w:ascii="Times New Roman" w:hAnsi="Times New Roman" w:cs="Times New Roman"/>
          <w:color w:val="000000" w:themeColor="text1"/>
          <w:sz w:val="24"/>
          <w:szCs w:val="24"/>
        </w:rPr>
        <w:t xml:space="preserve"> O CONTRATANTE pagará a quantia total em </w:t>
      </w:r>
      <w:r w:rsidR="00611BCC" w:rsidRPr="00611BCC">
        <w:rPr>
          <w:rFonts w:ascii="Times New Roman" w:hAnsi="Times New Roman" w:cs="Times New Roman"/>
          <w:b/>
          <w:color w:val="000000" w:themeColor="text1"/>
          <w:sz w:val="24"/>
          <w:szCs w:val="24"/>
        </w:rPr>
        <w:t>02</w:t>
      </w:r>
      <w:r w:rsidR="00DD4BA7" w:rsidRPr="00611BCC">
        <w:rPr>
          <w:rFonts w:ascii="Times New Roman" w:hAnsi="Times New Roman" w:cs="Times New Roman"/>
          <w:b/>
          <w:color w:val="000000" w:themeColor="text1"/>
          <w:sz w:val="24"/>
          <w:szCs w:val="24"/>
        </w:rPr>
        <w:t xml:space="preserve"> (</w:t>
      </w:r>
      <w:r w:rsidR="00611BCC" w:rsidRPr="00611BCC">
        <w:rPr>
          <w:rFonts w:ascii="Times New Roman" w:hAnsi="Times New Roman" w:cs="Times New Roman"/>
          <w:b/>
          <w:color w:val="000000" w:themeColor="text1"/>
          <w:sz w:val="24"/>
          <w:szCs w:val="24"/>
        </w:rPr>
        <w:t>duas</w:t>
      </w:r>
      <w:r w:rsidR="00DD4BA7" w:rsidRPr="00611BCC">
        <w:rPr>
          <w:rFonts w:ascii="Times New Roman" w:hAnsi="Times New Roman" w:cs="Times New Roman"/>
          <w:b/>
          <w:color w:val="000000" w:themeColor="text1"/>
          <w:sz w:val="24"/>
          <w:szCs w:val="24"/>
        </w:rPr>
        <w:t xml:space="preserve">) parcelas, com intervalo de 30 (trinta) </w:t>
      </w:r>
      <w:r w:rsidR="00DD4BA7" w:rsidRPr="002A6A9E">
        <w:rPr>
          <w:rFonts w:ascii="Times New Roman" w:hAnsi="Times New Roman" w:cs="Times New Roman"/>
          <w:b/>
          <w:color w:val="000000" w:themeColor="text1"/>
          <w:sz w:val="24"/>
          <w:szCs w:val="24"/>
        </w:rPr>
        <w:t>dias</w:t>
      </w:r>
      <w:r w:rsidR="00DD4BA7" w:rsidRPr="00611BCC">
        <w:rPr>
          <w:rFonts w:ascii="Times New Roman" w:hAnsi="Times New Roman" w:cs="Times New Roman"/>
          <w:color w:val="000000" w:themeColor="text1"/>
          <w:sz w:val="24"/>
          <w:szCs w:val="24"/>
        </w:rPr>
        <w:t xml:space="preserve"> do recebimento dos </w:t>
      </w:r>
      <w:r w:rsidR="00661B1C" w:rsidRPr="00611BCC">
        <w:rPr>
          <w:rFonts w:ascii="Times New Roman" w:hAnsi="Times New Roman" w:cs="Times New Roman"/>
          <w:color w:val="000000" w:themeColor="text1"/>
          <w:sz w:val="24"/>
          <w:szCs w:val="24"/>
        </w:rPr>
        <w:t>objetos</w:t>
      </w:r>
      <w:r w:rsidR="00DD4BA7" w:rsidRPr="00611BCC">
        <w:rPr>
          <w:rFonts w:ascii="Times New Roman" w:hAnsi="Times New Roman" w:cs="Times New Roman"/>
          <w:color w:val="000000" w:themeColor="text1"/>
          <w:sz w:val="24"/>
          <w:szCs w:val="24"/>
        </w:rPr>
        <w:t xml:space="preserve">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2</w:t>
      </w:r>
      <w:r w:rsidR="00DD4BA7" w:rsidRPr="008D7A94">
        <w:rPr>
          <w:rFonts w:ascii="Times New Roman" w:hAnsi="Times New Roman" w:cs="Times New Roman"/>
          <w:color w:val="000000" w:themeColor="text1"/>
          <w:sz w:val="24"/>
          <w:szCs w:val="24"/>
        </w:rPr>
        <w:t xml:space="preserve"> O preço é considerado completo e abrange todos os tributos impostos, taxas, emolumentos, contribuições fiscais e </w:t>
      </w:r>
      <w:proofErr w:type="spellStart"/>
      <w:r w:rsidR="00DD4BA7" w:rsidRPr="008D7A94">
        <w:rPr>
          <w:rFonts w:ascii="Times New Roman" w:hAnsi="Times New Roman" w:cs="Times New Roman"/>
          <w:color w:val="000000" w:themeColor="text1"/>
          <w:sz w:val="24"/>
          <w:szCs w:val="24"/>
        </w:rPr>
        <w:t>parafiscais</w:t>
      </w:r>
      <w:proofErr w:type="spellEnd"/>
      <w:r w:rsidR="00DD4BA7" w:rsidRPr="008D7A94">
        <w:rPr>
          <w:rFonts w:ascii="Times New Roman" w:hAnsi="Times New Roman" w:cs="Times New Roman"/>
          <w:color w:val="000000" w:themeColor="text1"/>
          <w:sz w:val="24"/>
          <w:szCs w:val="24"/>
        </w:rPr>
        <w:t xml:space="preserve">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3</w:t>
      </w:r>
      <w:r w:rsidR="00DD4BA7" w:rsidRPr="008D7A94">
        <w:rPr>
          <w:rFonts w:ascii="Times New Roman" w:hAnsi="Times New Roman" w:cs="Times New Roman"/>
          <w:color w:val="000000" w:themeColor="text1"/>
          <w:sz w:val="24"/>
          <w:szCs w:val="24"/>
        </w:rPr>
        <w:t xml:space="preserve">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.4</w:t>
      </w:r>
      <w:r w:rsidR="00DD4BA7" w:rsidRPr="008D7A94">
        <w:rPr>
          <w:rFonts w:ascii="Times New Roman" w:hAnsi="Times New Roman" w:cs="Times New Roman"/>
          <w:color w:val="000000" w:themeColor="text1"/>
          <w:sz w:val="24"/>
          <w:szCs w:val="24"/>
        </w:rPr>
        <w:t xml:space="preserve">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.5</w:t>
      </w:r>
      <w:r w:rsidR="00DD4BA7" w:rsidRPr="008D7A94">
        <w:rPr>
          <w:rFonts w:ascii="Times New Roman" w:hAnsi="Times New Roman" w:cs="Times New Roman"/>
          <w:color w:val="000000" w:themeColor="text1"/>
          <w:sz w:val="24"/>
          <w:szCs w:val="24"/>
        </w:rPr>
        <w:t xml:space="preserve">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.6</w:t>
      </w:r>
      <w:r w:rsidR="00DD4BA7" w:rsidRPr="008D7A94">
        <w:rPr>
          <w:rFonts w:ascii="Times New Roman" w:hAnsi="Times New Roman" w:cs="Times New Roman"/>
          <w:color w:val="000000" w:themeColor="text1"/>
          <w:sz w:val="24"/>
          <w:szCs w:val="24"/>
        </w:rPr>
        <w:t xml:space="preserve">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7</w:t>
      </w:r>
      <w:r w:rsidR="00DD4BA7" w:rsidRPr="008D7A94">
        <w:rPr>
          <w:rFonts w:ascii="Times New Roman" w:hAnsi="Times New Roman" w:cs="Times New Roman"/>
          <w:color w:val="000000" w:themeColor="text1"/>
          <w:sz w:val="24"/>
          <w:szCs w:val="24"/>
        </w:rPr>
        <w:t xml:space="preserve"> Poderão os licitantes prever descontos, nos termos da alínea "d", do inciso XIV, do artigo 40, da Lei n.º 8.666/93.</w:t>
      </w:r>
    </w:p>
    <w:p w:rsidR="00DD4BA7" w:rsidRPr="008D7A94" w:rsidRDefault="00DD4BA7"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D4BA7" w:rsidRPr="00611BCC" w:rsidRDefault="00611BCC" w:rsidP="008D7A94">
      <w:pPr>
        <w:tabs>
          <w:tab w:val="left" w:pos="2790"/>
        </w:tabs>
        <w:spacing w:after="0" w:line="240" w:lineRule="auto"/>
        <w:jc w:val="both"/>
        <w:rPr>
          <w:rFonts w:ascii="Times New Roman" w:hAnsi="Times New Roman" w:cs="Times New Roman"/>
          <w:i/>
          <w:color w:val="000000" w:themeColor="text1"/>
          <w:sz w:val="24"/>
          <w:szCs w:val="24"/>
        </w:rPr>
      </w:pPr>
      <w:r w:rsidRPr="00611BCC">
        <w:rPr>
          <w:rFonts w:ascii="Times New Roman" w:hAnsi="Times New Roman" w:cs="Times New Roman"/>
          <w:i/>
          <w:color w:val="000000" w:themeColor="text1"/>
          <w:sz w:val="24"/>
          <w:szCs w:val="24"/>
        </w:rPr>
        <w:t>07</w:t>
      </w:r>
      <w:r w:rsidR="00DD4BA7" w:rsidRPr="00611BCC">
        <w:rPr>
          <w:rFonts w:ascii="Times New Roman" w:hAnsi="Times New Roman" w:cs="Times New Roman"/>
          <w:i/>
          <w:color w:val="000000" w:themeColor="text1"/>
          <w:sz w:val="24"/>
          <w:szCs w:val="24"/>
        </w:rPr>
        <w:t xml:space="preserve"> – SECRETARIA </w:t>
      </w:r>
      <w:r w:rsidR="00F15801" w:rsidRPr="00611BCC">
        <w:rPr>
          <w:rFonts w:ascii="Times New Roman" w:hAnsi="Times New Roman" w:cs="Times New Roman"/>
          <w:i/>
          <w:color w:val="000000" w:themeColor="text1"/>
          <w:sz w:val="24"/>
          <w:szCs w:val="24"/>
        </w:rPr>
        <w:t xml:space="preserve">DE </w:t>
      </w:r>
      <w:r w:rsidRPr="00611BCC">
        <w:rPr>
          <w:rFonts w:ascii="Times New Roman" w:hAnsi="Times New Roman" w:cs="Times New Roman"/>
          <w:i/>
          <w:color w:val="000000" w:themeColor="text1"/>
          <w:sz w:val="24"/>
          <w:szCs w:val="24"/>
        </w:rPr>
        <w:t>OBRAS E SERVIÇOS PÚBLICOS</w:t>
      </w:r>
    </w:p>
    <w:p w:rsidR="00DD4BA7" w:rsidRPr="00611BCC" w:rsidRDefault="00611BCC" w:rsidP="008D7A94">
      <w:pPr>
        <w:tabs>
          <w:tab w:val="left" w:pos="2790"/>
        </w:tabs>
        <w:spacing w:after="0" w:line="240" w:lineRule="auto"/>
        <w:jc w:val="both"/>
        <w:rPr>
          <w:rFonts w:ascii="Times New Roman" w:hAnsi="Times New Roman" w:cs="Times New Roman"/>
          <w:i/>
          <w:color w:val="000000" w:themeColor="text1"/>
          <w:sz w:val="24"/>
          <w:szCs w:val="24"/>
        </w:rPr>
      </w:pPr>
      <w:r w:rsidRPr="00611BCC">
        <w:rPr>
          <w:rFonts w:ascii="Times New Roman" w:hAnsi="Times New Roman" w:cs="Times New Roman"/>
          <w:i/>
          <w:color w:val="000000" w:themeColor="text1"/>
          <w:sz w:val="24"/>
          <w:szCs w:val="24"/>
        </w:rPr>
        <w:t>04</w:t>
      </w:r>
      <w:r w:rsidR="00DD4BA7" w:rsidRPr="00611BCC">
        <w:rPr>
          <w:rFonts w:ascii="Times New Roman" w:hAnsi="Times New Roman" w:cs="Times New Roman"/>
          <w:i/>
          <w:color w:val="000000" w:themeColor="text1"/>
          <w:sz w:val="24"/>
          <w:szCs w:val="24"/>
        </w:rPr>
        <w:t xml:space="preserve"> –</w:t>
      </w:r>
      <w:r w:rsidRPr="00611BCC">
        <w:rPr>
          <w:rFonts w:ascii="Times New Roman" w:hAnsi="Times New Roman" w:cs="Times New Roman"/>
          <w:i/>
          <w:color w:val="000000" w:themeColor="text1"/>
          <w:sz w:val="24"/>
          <w:szCs w:val="24"/>
        </w:rPr>
        <w:t>Coordenadoria de Serviços Gerais</w:t>
      </w:r>
    </w:p>
    <w:p w:rsidR="00DD4BA7" w:rsidRPr="00611BCC" w:rsidRDefault="00611BCC" w:rsidP="008D7A94">
      <w:pPr>
        <w:tabs>
          <w:tab w:val="left" w:pos="2790"/>
        </w:tabs>
        <w:spacing w:after="0" w:line="240" w:lineRule="auto"/>
        <w:jc w:val="both"/>
        <w:rPr>
          <w:rFonts w:ascii="Times New Roman" w:hAnsi="Times New Roman" w:cs="Times New Roman"/>
          <w:i/>
          <w:color w:val="000000" w:themeColor="text1"/>
          <w:sz w:val="24"/>
          <w:szCs w:val="24"/>
        </w:rPr>
      </w:pPr>
      <w:r w:rsidRPr="00611BCC">
        <w:rPr>
          <w:rFonts w:ascii="Times New Roman" w:hAnsi="Times New Roman" w:cs="Times New Roman"/>
          <w:i/>
          <w:color w:val="000000" w:themeColor="text1"/>
          <w:sz w:val="24"/>
          <w:szCs w:val="24"/>
        </w:rPr>
        <w:t>1545200582</w:t>
      </w:r>
      <w:r w:rsidR="00DD4BA7" w:rsidRPr="00611BCC">
        <w:rPr>
          <w:rFonts w:ascii="Times New Roman" w:hAnsi="Times New Roman" w:cs="Times New Roman"/>
          <w:i/>
          <w:color w:val="000000" w:themeColor="text1"/>
          <w:sz w:val="24"/>
          <w:szCs w:val="24"/>
        </w:rPr>
        <w:t>.</w:t>
      </w:r>
      <w:r w:rsidRPr="00611BCC">
        <w:rPr>
          <w:rFonts w:ascii="Times New Roman" w:hAnsi="Times New Roman" w:cs="Times New Roman"/>
          <w:i/>
          <w:color w:val="000000" w:themeColor="text1"/>
          <w:sz w:val="24"/>
          <w:szCs w:val="24"/>
        </w:rPr>
        <w:t>119000</w:t>
      </w:r>
      <w:r w:rsidR="00F15801" w:rsidRPr="00611BCC">
        <w:rPr>
          <w:rFonts w:ascii="Times New Roman" w:hAnsi="Times New Roman" w:cs="Times New Roman"/>
          <w:i/>
          <w:color w:val="000000" w:themeColor="text1"/>
          <w:sz w:val="24"/>
          <w:szCs w:val="24"/>
        </w:rPr>
        <w:t xml:space="preserve"> – Manutenção dos serviços da </w:t>
      </w:r>
      <w:r w:rsidRPr="00611BCC">
        <w:rPr>
          <w:rFonts w:ascii="Times New Roman" w:hAnsi="Times New Roman" w:cs="Times New Roman"/>
          <w:i/>
          <w:color w:val="000000" w:themeColor="text1"/>
          <w:sz w:val="24"/>
          <w:szCs w:val="24"/>
        </w:rPr>
        <w:t>Coordenadoria de Serviços Gerais</w:t>
      </w:r>
    </w:p>
    <w:p w:rsidR="00DD4BA7" w:rsidRPr="00611BCC" w:rsidRDefault="00611BCC" w:rsidP="008D7A94">
      <w:pPr>
        <w:tabs>
          <w:tab w:val="left" w:pos="2790"/>
        </w:tabs>
        <w:spacing w:after="0" w:line="240" w:lineRule="auto"/>
        <w:jc w:val="both"/>
        <w:rPr>
          <w:rFonts w:ascii="Times New Roman" w:hAnsi="Times New Roman" w:cs="Times New Roman"/>
          <w:i/>
          <w:color w:val="000000" w:themeColor="text1"/>
          <w:sz w:val="24"/>
          <w:szCs w:val="24"/>
        </w:rPr>
      </w:pPr>
      <w:r w:rsidRPr="00611BCC">
        <w:rPr>
          <w:rFonts w:ascii="Times New Roman" w:hAnsi="Times New Roman" w:cs="Times New Roman"/>
          <w:i/>
          <w:color w:val="000000" w:themeColor="text1"/>
          <w:sz w:val="24"/>
          <w:szCs w:val="24"/>
        </w:rPr>
        <w:t>33903000.0000</w:t>
      </w:r>
      <w:r w:rsidR="00DD4BA7" w:rsidRPr="00611BCC">
        <w:rPr>
          <w:rFonts w:ascii="Times New Roman" w:hAnsi="Times New Roman" w:cs="Times New Roman"/>
          <w:i/>
          <w:color w:val="000000" w:themeColor="text1"/>
          <w:sz w:val="24"/>
          <w:szCs w:val="24"/>
        </w:rPr>
        <w:t xml:space="preserve"> – Material de Consumo (</w:t>
      </w:r>
      <w:r w:rsidRPr="00611BCC">
        <w:rPr>
          <w:rFonts w:ascii="Times New Roman" w:hAnsi="Times New Roman" w:cs="Times New Roman"/>
          <w:i/>
          <w:color w:val="000000" w:themeColor="text1"/>
          <w:sz w:val="24"/>
          <w:szCs w:val="24"/>
        </w:rPr>
        <w:t>288</w:t>
      </w:r>
      <w:r w:rsidR="00DD4BA7" w:rsidRPr="00611BCC">
        <w:rPr>
          <w:rFonts w:ascii="Times New Roman" w:hAnsi="Times New Roman" w:cs="Times New Roman"/>
          <w:i/>
          <w:color w:val="000000" w:themeColor="text1"/>
          <w:sz w:val="24"/>
          <w:szCs w:val="24"/>
        </w:rPr>
        <w:t>)</w:t>
      </w:r>
    </w:p>
    <w:p w:rsidR="008D7A94" w:rsidRPr="000615DC" w:rsidRDefault="008D7A94" w:rsidP="008D7A94">
      <w:pPr>
        <w:tabs>
          <w:tab w:val="left" w:pos="2790"/>
        </w:tabs>
        <w:spacing w:after="0" w:line="240" w:lineRule="auto"/>
        <w:jc w:val="both"/>
        <w:rPr>
          <w:rFonts w:ascii="Times New Roman" w:hAnsi="Times New Roman" w:cs="Times New Roman"/>
          <w:i/>
          <w:color w:val="000000" w:themeColor="text1"/>
          <w:sz w:val="24"/>
          <w:szCs w:val="24"/>
        </w:rPr>
      </w:pPr>
      <w:r w:rsidRPr="00611BCC">
        <w:rPr>
          <w:rFonts w:ascii="Times New Roman" w:hAnsi="Times New Roman" w:cs="Times New Roman"/>
          <w:i/>
          <w:color w:val="000000" w:themeColor="text1"/>
          <w:sz w:val="24"/>
          <w:szCs w:val="24"/>
        </w:rPr>
        <w:t xml:space="preserve">Código Reduzido: </w:t>
      </w:r>
      <w:r w:rsidR="00611BCC" w:rsidRPr="00611BCC">
        <w:rPr>
          <w:rFonts w:ascii="Times New Roman" w:hAnsi="Times New Roman" w:cs="Times New Roman"/>
          <w:i/>
          <w:color w:val="000000" w:themeColor="text1"/>
          <w:sz w:val="24"/>
          <w:szCs w:val="24"/>
        </w:rPr>
        <w:t>2838</w:t>
      </w:r>
    </w:p>
    <w:p w:rsidR="00DD4BA7"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p>
    <w:p w:rsidR="00F832BB"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8D7A94" w:rsidRDefault="00DD4BA7"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ANEXO I</w:t>
      </w:r>
      <w:r w:rsidR="002A6A9E">
        <w:rPr>
          <w:rFonts w:ascii="Times New Roman" w:hAnsi="Times New Roman" w:cs="Times New Roman"/>
          <w:sz w:val="24"/>
          <w:szCs w:val="24"/>
        </w:rPr>
        <w:t>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2A6A9E">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2A6A9E">
        <w:rPr>
          <w:rFonts w:ascii="Times New Roman" w:hAnsi="Times New Roman" w:cs="Times New Roman"/>
          <w:sz w:val="24"/>
          <w:szCs w:val="24"/>
        </w:rPr>
        <w:t xml:space="preserve">Selbach, RS, </w:t>
      </w:r>
      <w:r w:rsidR="002A6A9E" w:rsidRPr="002A6A9E">
        <w:rPr>
          <w:rFonts w:ascii="Times New Roman" w:hAnsi="Times New Roman" w:cs="Times New Roman"/>
          <w:sz w:val="24"/>
          <w:szCs w:val="24"/>
        </w:rPr>
        <w:t>20</w:t>
      </w:r>
      <w:r w:rsidR="00B151FF" w:rsidRPr="002A6A9E">
        <w:rPr>
          <w:rFonts w:ascii="Times New Roman" w:hAnsi="Times New Roman" w:cs="Times New Roman"/>
          <w:sz w:val="24"/>
          <w:szCs w:val="24"/>
        </w:rPr>
        <w:t xml:space="preserve"> </w:t>
      </w:r>
      <w:r w:rsidRPr="002A6A9E">
        <w:rPr>
          <w:rFonts w:ascii="Times New Roman" w:hAnsi="Times New Roman" w:cs="Times New Roman"/>
          <w:sz w:val="24"/>
          <w:szCs w:val="24"/>
        </w:rPr>
        <w:t xml:space="preserve">de </w:t>
      </w:r>
      <w:r w:rsidR="004B5E0D" w:rsidRPr="002A6A9E">
        <w:rPr>
          <w:rFonts w:ascii="Times New Roman" w:hAnsi="Times New Roman" w:cs="Times New Roman"/>
          <w:sz w:val="24"/>
          <w:szCs w:val="24"/>
        </w:rPr>
        <w:t>outubro</w:t>
      </w:r>
      <w:r w:rsidRPr="002A6A9E">
        <w:rPr>
          <w:rFonts w:ascii="Times New Roman" w:hAnsi="Times New Roman" w:cs="Times New Roman"/>
          <w:sz w:val="24"/>
          <w:szCs w:val="24"/>
        </w:rPr>
        <w:t xml:space="preserve"> de 2021.</w:t>
      </w:r>
    </w:p>
    <w:p w:rsidR="004E4F79" w:rsidRDefault="004E4F79" w:rsidP="004E4F79">
      <w:pPr>
        <w:tabs>
          <w:tab w:val="left" w:pos="2790"/>
        </w:tabs>
        <w:spacing w:after="0" w:line="240" w:lineRule="auto"/>
        <w:rPr>
          <w:rFonts w:ascii="Times New Roman" w:hAnsi="Times New Roman" w:cs="Times New Roman"/>
          <w:sz w:val="24"/>
          <w:szCs w:val="24"/>
        </w:rPr>
      </w:pPr>
    </w:p>
    <w:p w:rsidR="00661B1C" w:rsidRDefault="00661B1C" w:rsidP="004E4F79">
      <w:pPr>
        <w:tabs>
          <w:tab w:val="left" w:pos="2790"/>
        </w:tabs>
        <w:spacing w:after="0" w:line="240" w:lineRule="auto"/>
        <w:rPr>
          <w:rFonts w:ascii="Times New Roman" w:hAnsi="Times New Roman" w:cs="Times New Roman"/>
          <w:sz w:val="24"/>
          <w:szCs w:val="24"/>
        </w:rPr>
      </w:pPr>
    </w:p>
    <w:p w:rsidR="00E272AA" w:rsidRPr="004E4F79" w:rsidRDefault="00E272AA"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E272AA" w:rsidRPr="004E4F79" w:rsidRDefault="00E272AA" w:rsidP="004E4F79">
      <w:pPr>
        <w:tabs>
          <w:tab w:val="left" w:pos="2790"/>
        </w:tabs>
        <w:spacing w:after="0" w:line="240" w:lineRule="auto"/>
        <w:jc w:val="center"/>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Default="00825DFC" w:rsidP="004E4F79">
      <w:pPr>
        <w:tabs>
          <w:tab w:val="left" w:pos="2790"/>
        </w:tabs>
        <w:spacing w:after="0" w:line="240" w:lineRule="auto"/>
        <w:rPr>
          <w:rFonts w:ascii="Times New Roman" w:hAnsi="Times New Roman" w:cs="Times New Roman"/>
          <w:sz w:val="24"/>
          <w:szCs w:val="24"/>
        </w:rPr>
      </w:pPr>
    </w:p>
    <w:p w:rsidR="00661B1C" w:rsidRPr="004E4F79" w:rsidRDefault="00661B1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2A6A9E" w:rsidRDefault="002A6A9E" w:rsidP="004E4F79">
      <w:pPr>
        <w:tabs>
          <w:tab w:val="left" w:pos="2790"/>
        </w:tabs>
        <w:spacing w:after="0" w:line="240" w:lineRule="auto"/>
        <w:jc w:val="center"/>
        <w:rPr>
          <w:rFonts w:ascii="Times New Roman" w:hAnsi="Times New Roman" w:cs="Times New Roman"/>
          <w:b/>
          <w:sz w:val="24"/>
          <w:szCs w:val="24"/>
        </w:rPr>
      </w:pPr>
    </w:p>
    <w:p w:rsidR="002A6A9E" w:rsidRDefault="002A6A9E"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498" w:type="dxa"/>
        <w:jc w:val="center"/>
        <w:tblLook w:val="04A0" w:firstRow="1" w:lastRow="0" w:firstColumn="1" w:lastColumn="0" w:noHBand="0" w:noVBand="1"/>
      </w:tblPr>
      <w:tblGrid>
        <w:gridCol w:w="803"/>
        <w:gridCol w:w="4535"/>
        <w:gridCol w:w="562"/>
        <w:gridCol w:w="1583"/>
        <w:gridCol w:w="1671"/>
        <w:gridCol w:w="1331"/>
        <w:gridCol w:w="13"/>
      </w:tblGrid>
      <w:tr w:rsidR="00661B1C" w:rsidRPr="004B5E0D" w:rsidTr="002A6A9E">
        <w:trPr>
          <w:trHeight w:val="397"/>
          <w:jc w:val="center"/>
        </w:trPr>
        <w:tc>
          <w:tcPr>
            <w:tcW w:w="803" w:type="dxa"/>
            <w:vAlign w:val="center"/>
            <w:hideMark/>
          </w:tcPr>
          <w:p w:rsidR="00661B1C" w:rsidRPr="004B5E0D" w:rsidRDefault="00661B1C" w:rsidP="00B57D70">
            <w:pPr>
              <w:jc w:val="center"/>
              <w:rPr>
                <w:rFonts w:ascii="Times New Roman" w:eastAsia="Times New Roman" w:hAnsi="Times New Roman" w:cs="Times New Roman"/>
                <w:b/>
                <w:bCs/>
                <w:color w:val="000000" w:themeColor="text1"/>
                <w:sz w:val="20"/>
                <w:szCs w:val="20"/>
                <w:lang w:eastAsia="pt-BR"/>
              </w:rPr>
            </w:pPr>
            <w:r w:rsidRPr="004B5E0D">
              <w:rPr>
                <w:rFonts w:ascii="Times New Roman" w:eastAsia="Times New Roman" w:hAnsi="Times New Roman" w:cs="Times New Roman"/>
                <w:b/>
                <w:bCs/>
                <w:color w:val="000000" w:themeColor="text1"/>
                <w:sz w:val="20"/>
                <w:szCs w:val="20"/>
                <w:lang w:eastAsia="pt-BR"/>
              </w:rPr>
              <w:t>ITEM</w:t>
            </w:r>
          </w:p>
        </w:tc>
        <w:tc>
          <w:tcPr>
            <w:tcW w:w="4535" w:type="dxa"/>
            <w:noWrap/>
            <w:vAlign w:val="center"/>
            <w:hideMark/>
          </w:tcPr>
          <w:p w:rsidR="00661B1C" w:rsidRPr="004B5E0D" w:rsidRDefault="00661B1C" w:rsidP="00B57D70">
            <w:pPr>
              <w:jc w:val="center"/>
              <w:rPr>
                <w:rFonts w:ascii="Times New Roman" w:eastAsia="Times New Roman" w:hAnsi="Times New Roman" w:cs="Times New Roman"/>
                <w:b/>
                <w:bCs/>
                <w:color w:val="000000" w:themeColor="text1"/>
                <w:sz w:val="20"/>
                <w:szCs w:val="20"/>
                <w:lang w:eastAsia="pt-BR"/>
              </w:rPr>
            </w:pPr>
            <w:r w:rsidRPr="004B5E0D">
              <w:rPr>
                <w:rFonts w:ascii="Times New Roman" w:eastAsia="Times New Roman" w:hAnsi="Times New Roman" w:cs="Times New Roman"/>
                <w:b/>
                <w:bCs/>
                <w:color w:val="000000" w:themeColor="text1"/>
                <w:sz w:val="20"/>
                <w:szCs w:val="20"/>
                <w:lang w:eastAsia="pt-BR"/>
              </w:rPr>
              <w:t>DESCRIÇÃO</w:t>
            </w:r>
          </w:p>
        </w:tc>
        <w:tc>
          <w:tcPr>
            <w:tcW w:w="567" w:type="dxa"/>
            <w:vAlign w:val="center"/>
          </w:tcPr>
          <w:p w:rsidR="00661B1C" w:rsidRPr="004B5E0D" w:rsidRDefault="00661B1C" w:rsidP="00661B1C">
            <w:pPr>
              <w:jc w:val="center"/>
              <w:rPr>
                <w:rFonts w:ascii="Times New Roman" w:eastAsia="Times New Roman" w:hAnsi="Times New Roman" w:cs="Times New Roman"/>
                <w:b/>
                <w:bCs/>
                <w:color w:val="000000" w:themeColor="text1"/>
                <w:sz w:val="20"/>
                <w:szCs w:val="20"/>
                <w:lang w:eastAsia="pt-BR"/>
              </w:rPr>
            </w:pPr>
            <w:r w:rsidRPr="004B5E0D">
              <w:rPr>
                <w:rFonts w:ascii="Times New Roman" w:eastAsia="Times New Roman" w:hAnsi="Times New Roman" w:cs="Times New Roman"/>
                <w:b/>
                <w:bCs/>
                <w:color w:val="000000" w:themeColor="text1"/>
                <w:sz w:val="20"/>
                <w:szCs w:val="20"/>
                <w:lang w:eastAsia="pt-BR"/>
              </w:rPr>
              <w:t>UN</w:t>
            </w:r>
          </w:p>
        </w:tc>
        <w:tc>
          <w:tcPr>
            <w:tcW w:w="1531" w:type="dxa"/>
            <w:vAlign w:val="center"/>
          </w:tcPr>
          <w:p w:rsidR="00661B1C" w:rsidRPr="004B5E0D" w:rsidRDefault="00661B1C" w:rsidP="00661B1C">
            <w:pPr>
              <w:jc w:val="center"/>
              <w:rPr>
                <w:rFonts w:ascii="Times New Roman" w:eastAsia="Times New Roman" w:hAnsi="Times New Roman" w:cs="Times New Roman"/>
                <w:b/>
                <w:bCs/>
                <w:color w:val="000000" w:themeColor="text1"/>
                <w:sz w:val="20"/>
                <w:szCs w:val="20"/>
                <w:lang w:eastAsia="pt-BR"/>
              </w:rPr>
            </w:pPr>
            <w:r w:rsidRPr="004B5E0D">
              <w:rPr>
                <w:rFonts w:ascii="Times New Roman" w:eastAsia="Times New Roman" w:hAnsi="Times New Roman" w:cs="Times New Roman"/>
                <w:b/>
                <w:bCs/>
                <w:color w:val="000000" w:themeColor="text1"/>
                <w:sz w:val="20"/>
                <w:szCs w:val="20"/>
                <w:lang w:eastAsia="pt-BR"/>
              </w:rPr>
              <w:t>QUANTIDADE</w:t>
            </w:r>
          </w:p>
        </w:tc>
        <w:tc>
          <w:tcPr>
            <w:tcW w:w="1701" w:type="dxa"/>
            <w:vAlign w:val="center"/>
          </w:tcPr>
          <w:p w:rsidR="00661B1C" w:rsidRPr="004B5E0D" w:rsidRDefault="00661B1C" w:rsidP="00661B1C">
            <w:pPr>
              <w:jc w:val="center"/>
              <w:rPr>
                <w:rFonts w:ascii="Times New Roman" w:eastAsia="Times New Roman" w:hAnsi="Times New Roman" w:cs="Times New Roman"/>
                <w:b/>
                <w:bCs/>
                <w:color w:val="000000" w:themeColor="text1"/>
                <w:sz w:val="20"/>
                <w:szCs w:val="20"/>
                <w:lang w:eastAsia="pt-BR"/>
              </w:rPr>
            </w:pPr>
            <w:r w:rsidRPr="004B5E0D">
              <w:rPr>
                <w:rFonts w:ascii="Times New Roman" w:eastAsia="Times New Roman" w:hAnsi="Times New Roman" w:cs="Times New Roman"/>
                <w:b/>
                <w:bCs/>
                <w:color w:val="000000" w:themeColor="text1"/>
                <w:sz w:val="20"/>
                <w:szCs w:val="20"/>
                <w:lang w:eastAsia="pt-BR"/>
              </w:rPr>
              <w:t>VALOR UNITÁRIO (R$)</w:t>
            </w:r>
          </w:p>
        </w:tc>
        <w:tc>
          <w:tcPr>
            <w:tcW w:w="1361" w:type="dxa"/>
            <w:gridSpan w:val="2"/>
            <w:vAlign w:val="center"/>
          </w:tcPr>
          <w:p w:rsidR="00661B1C" w:rsidRPr="004B5E0D" w:rsidRDefault="00661B1C" w:rsidP="00982C28">
            <w:pPr>
              <w:jc w:val="center"/>
              <w:rPr>
                <w:rFonts w:ascii="Times New Roman" w:eastAsia="Times New Roman" w:hAnsi="Times New Roman" w:cs="Times New Roman"/>
                <w:b/>
                <w:bCs/>
                <w:color w:val="000000" w:themeColor="text1"/>
                <w:sz w:val="20"/>
                <w:szCs w:val="20"/>
                <w:lang w:eastAsia="pt-BR"/>
              </w:rPr>
            </w:pPr>
            <w:r w:rsidRPr="004B5E0D">
              <w:rPr>
                <w:rFonts w:ascii="Times New Roman" w:eastAsia="Times New Roman" w:hAnsi="Times New Roman" w:cs="Times New Roman"/>
                <w:b/>
                <w:bCs/>
                <w:color w:val="000000" w:themeColor="text1"/>
                <w:sz w:val="20"/>
                <w:szCs w:val="20"/>
                <w:lang w:eastAsia="pt-BR"/>
              </w:rPr>
              <w:t>VALOR TOTAL (R$)</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1</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 xml:space="preserve">COMPUTADOR TIPO RACK PADRÃO 19 COM A SEGUINTE CONFIGURAÇÃO MÍNIMA 01 MONITOR DE 15" / PLACA DE VÍDEO DE 2 GIGA/ 8 GIGA DE RAM /PROCESSADOR I3 HD SSD DE 128 GIGA/ FONTE/ TECLADO / MOUSE / 2 PLACAS DE REDE WINDOWS 10 HOME / PLACA DE REDE WIFI </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5.033,00</w:t>
            </w:r>
          </w:p>
        </w:tc>
        <w:tc>
          <w:tcPr>
            <w:tcW w:w="1361" w:type="dxa"/>
            <w:gridSpan w:val="2"/>
            <w:shd w:val="clear" w:color="auto" w:fill="auto"/>
            <w:vAlign w:val="center"/>
          </w:tcPr>
          <w:p w:rsidR="004B5E0D" w:rsidRPr="004B5E0D" w:rsidRDefault="001614FF" w:rsidP="004B5E0D">
            <w:pPr>
              <w:jc w:val="center"/>
              <w:rPr>
                <w:rFonts w:ascii="Times New Roman" w:hAnsi="Times New Roman" w:cs="Times New Roman"/>
                <w:color w:val="000000"/>
              </w:rPr>
            </w:pPr>
            <w:r>
              <w:rPr>
                <w:rFonts w:ascii="Times New Roman" w:hAnsi="Times New Roman" w:cs="Times New Roman"/>
                <w:color w:val="000000"/>
              </w:rPr>
              <w:t>5.033,00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2</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SWITCH GIGABIT DE MESA 5 PORTAS 10/100/1000 MBPS - LS1005G</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287,00</w:t>
            </w:r>
          </w:p>
        </w:tc>
        <w:tc>
          <w:tcPr>
            <w:tcW w:w="1361" w:type="dxa"/>
            <w:gridSpan w:val="2"/>
            <w:shd w:val="clear" w:color="auto" w:fill="auto"/>
            <w:vAlign w:val="center"/>
          </w:tcPr>
          <w:p w:rsidR="004B5E0D" w:rsidRPr="004B5E0D" w:rsidRDefault="001614FF" w:rsidP="004B5E0D">
            <w:pPr>
              <w:jc w:val="center"/>
              <w:rPr>
                <w:rFonts w:ascii="Times New Roman" w:hAnsi="Times New Roman" w:cs="Times New Roman"/>
                <w:color w:val="000000"/>
              </w:rPr>
            </w:pPr>
            <w:r>
              <w:rPr>
                <w:rFonts w:ascii="Times New Roman" w:hAnsi="Times New Roman" w:cs="Times New Roman"/>
                <w:color w:val="000000"/>
              </w:rPr>
              <w:t>287,00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3</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INTERFACE ARTNET 44 COM 2 UNIVERSOS / 44 FPS / ISOLAÇÃO DE 1500 VRMS ENTRE A ENTRADA DE REDE E O CIRCUITO LÓGICO, 2500VMRS ENTRE O CIRCUITO LÓGICO E AS SAÍDAS / ADAPTADOR PARA RACK PADRÃO 19</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752440">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2</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1.462,00</w:t>
            </w:r>
          </w:p>
        </w:tc>
        <w:tc>
          <w:tcPr>
            <w:tcW w:w="1361" w:type="dxa"/>
            <w:gridSpan w:val="2"/>
            <w:shd w:val="clear" w:color="auto" w:fill="auto"/>
            <w:vAlign w:val="center"/>
          </w:tcPr>
          <w:p w:rsidR="004B5E0D" w:rsidRPr="004B5E0D" w:rsidRDefault="001614FF" w:rsidP="004B5E0D">
            <w:pPr>
              <w:jc w:val="center"/>
              <w:rPr>
                <w:rFonts w:ascii="Times New Roman" w:hAnsi="Times New Roman" w:cs="Times New Roman"/>
                <w:color w:val="000000"/>
              </w:rPr>
            </w:pPr>
            <w:r>
              <w:rPr>
                <w:rFonts w:ascii="Times New Roman" w:hAnsi="Times New Roman" w:cs="Times New Roman"/>
                <w:color w:val="000000"/>
              </w:rPr>
              <w:t>2.924,00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4</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NOBREAK DE 600VA BIVOLT/ COM PELO MENOS 2H DE DURAÇÃO DA BATERIA</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594,00</w:t>
            </w:r>
          </w:p>
        </w:tc>
        <w:tc>
          <w:tcPr>
            <w:tcW w:w="1361" w:type="dxa"/>
            <w:gridSpan w:val="2"/>
            <w:shd w:val="clear" w:color="auto" w:fill="auto"/>
            <w:vAlign w:val="center"/>
          </w:tcPr>
          <w:p w:rsidR="004B5E0D" w:rsidRPr="004B5E0D" w:rsidRDefault="001614FF" w:rsidP="004B5E0D">
            <w:pPr>
              <w:jc w:val="center"/>
              <w:rPr>
                <w:rFonts w:ascii="Times New Roman" w:hAnsi="Times New Roman" w:cs="Times New Roman"/>
                <w:color w:val="000000"/>
              </w:rPr>
            </w:pPr>
            <w:r>
              <w:rPr>
                <w:rFonts w:ascii="Times New Roman" w:hAnsi="Times New Roman" w:cs="Times New Roman"/>
                <w:color w:val="000000"/>
              </w:rPr>
              <w:t>594,00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5</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LICENÇA AVOLITES AVO KEY 1 UNIVERSE DMX</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F663DB">
            <w:pPr>
              <w:jc w:val="center"/>
              <w:rPr>
                <w:rFonts w:ascii="Times New Roman" w:hAnsi="Times New Roman" w:cs="Times New Roman"/>
                <w:color w:val="000000"/>
              </w:rPr>
            </w:pPr>
            <w:r>
              <w:rPr>
                <w:rFonts w:ascii="Times New Roman" w:hAnsi="Times New Roman" w:cs="Times New Roman"/>
                <w:color w:val="000000"/>
              </w:rPr>
              <w:t>1.</w:t>
            </w:r>
            <w:r w:rsidR="00F663DB">
              <w:rPr>
                <w:rFonts w:ascii="Times New Roman" w:hAnsi="Times New Roman" w:cs="Times New Roman"/>
                <w:color w:val="000000"/>
              </w:rPr>
              <w:t>099</w:t>
            </w:r>
            <w:r>
              <w:rPr>
                <w:rFonts w:ascii="Times New Roman" w:hAnsi="Times New Roman" w:cs="Times New Roman"/>
                <w:color w:val="000000"/>
              </w:rPr>
              <w:t>,00</w:t>
            </w:r>
          </w:p>
        </w:tc>
        <w:tc>
          <w:tcPr>
            <w:tcW w:w="1361" w:type="dxa"/>
            <w:gridSpan w:val="2"/>
            <w:shd w:val="clear" w:color="auto" w:fill="auto"/>
            <w:vAlign w:val="center"/>
          </w:tcPr>
          <w:p w:rsidR="004B5E0D" w:rsidRPr="004B5E0D" w:rsidRDefault="001614FF" w:rsidP="00F663DB">
            <w:pPr>
              <w:jc w:val="center"/>
              <w:rPr>
                <w:rFonts w:ascii="Times New Roman" w:hAnsi="Times New Roman" w:cs="Times New Roman"/>
                <w:color w:val="000000"/>
              </w:rPr>
            </w:pPr>
            <w:r>
              <w:rPr>
                <w:rFonts w:ascii="Times New Roman" w:hAnsi="Times New Roman" w:cs="Times New Roman"/>
                <w:color w:val="000000"/>
              </w:rPr>
              <w:t>1.</w:t>
            </w:r>
            <w:r w:rsidR="00F663DB">
              <w:rPr>
                <w:rFonts w:ascii="Times New Roman" w:hAnsi="Times New Roman" w:cs="Times New Roman"/>
                <w:color w:val="000000"/>
              </w:rPr>
              <w:t>099</w:t>
            </w:r>
            <w:r>
              <w:rPr>
                <w:rFonts w:ascii="Times New Roman" w:hAnsi="Times New Roman" w:cs="Times New Roman"/>
                <w:color w:val="000000"/>
              </w:rPr>
              <w:t>,00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6</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PAR LED IP65 DMX 512 / 8X 15W / RGBWA / 25 GRAUS DE ABERTURA</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10</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1.186,50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11.865,00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7</w:t>
            </w:r>
          </w:p>
        </w:tc>
        <w:tc>
          <w:tcPr>
            <w:tcW w:w="4535" w:type="dxa"/>
            <w:shd w:val="clear" w:color="000000" w:fill="FFFFFF"/>
            <w:noWrap/>
            <w:vAlign w:val="center"/>
          </w:tcPr>
          <w:p w:rsidR="004B5E0D" w:rsidRPr="002A6A9E" w:rsidRDefault="004B5E0D"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 xml:space="preserve">RIBALTA LED IP65 DMX 512 / 18 X 3W / RGB / 35 GRAUS </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18</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1.534,50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27.621,00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8</w:t>
            </w:r>
          </w:p>
        </w:tc>
        <w:tc>
          <w:tcPr>
            <w:tcW w:w="4535" w:type="dxa"/>
            <w:shd w:val="clear" w:color="000000" w:fill="FFFFFF"/>
            <w:noWrap/>
            <w:vAlign w:val="center"/>
          </w:tcPr>
          <w:p w:rsidR="004B5E0D" w:rsidRPr="002A6A9E" w:rsidRDefault="004B5E0D"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 xml:space="preserve">CABO PP 3X1,5mm </w:t>
            </w:r>
            <w:r w:rsidR="00E25BFF" w:rsidRPr="002A6A9E">
              <w:rPr>
                <w:rFonts w:ascii="Times New Roman" w:eastAsia="Times New Roman" w:hAnsi="Times New Roman" w:cs="Times New Roman"/>
                <w:color w:val="000000"/>
                <w:sz w:val="20"/>
                <w:lang w:eastAsia="pt-BR"/>
              </w:rPr>
              <w:t>(260 metros)</w:t>
            </w:r>
          </w:p>
        </w:tc>
        <w:tc>
          <w:tcPr>
            <w:tcW w:w="567" w:type="dxa"/>
            <w:shd w:val="clear" w:color="auto" w:fill="auto"/>
            <w:vAlign w:val="center"/>
          </w:tcPr>
          <w:p w:rsidR="004B5E0D" w:rsidRPr="004B5E0D" w:rsidRDefault="00E25BFF" w:rsidP="004B5E0D">
            <w:pPr>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UN</w:t>
            </w:r>
          </w:p>
        </w:tc>
        <w:tc>
          <w:tcPr>
            <w:tcW w:w="1531" w:type="dxa"/>
            <w:vAlign w:val="center"/>
          </w:tcPr>
          <w:p w:rsidR="004B5E0D" w:rsidRPr="004B5E0D" w:rsidRDefault="00E25BFF" w:rsidP="004B5E0D">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2.400,00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2.400,00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9</w:t>
            </w:r>
          </w:p>
        </w:tc>
        <w:tc>
          <w:tcPr>
            <w:tcW w:w="4535" w:type="dxa"/>
            <w:shd w:val="clear" w:color="000000" w:fill="FFFFFF"/>
            <w:noWrap/>
            <w:vAlign w:val="center"/>
          </w:tcPr>
          <w:p w:rsidR="004B5E0D" w:rsidRPr="002A6A9E" w:rsidRDefault="004B5E0D"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CABO PP 3X0,5mm</w:t>
            </w:r>
            <w:r w:rsidR="00E25BFF" w:rsidRPr="002A6A9E">
              <w:rPr>
                <w:rFonts w:ascii="Times New Roman" w:eastAsia="Times New Roman" w:hAnsi="Times New Roman" w:cs="Times New Roman"/>
                <w:color w:val="000000"/>
                <w:sz w:val="20"/>
                <w:lang w:eastAsia="pt-BR"/>
              </w:rPr>
              <w:t xml:space="preserve"> (260 metros)</w:t>
            </w:r>
          </w:p>
        </w:tc>
        <w:tc>
          <w:tcPr>
            <w:tcW w:w="567" w:type="dxa"/>
            <w:shd w:val="clear" w:color="auto" w:fill="auto"/>
            <w:vAlign w:val="center"/>
          </w:tcPr>
          <w:p w:rsidR="004B5E0D" w:rsidRPr="004B5E0D" w:rsidRDefault="00E25BFF" w:rsidP="004B5E0D">
            <w:pPr>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UN</w:t>
            </w:r>
          </w:p>
        </w:tc>
        <w:tc>
          <w:tcPr>
            <w:tcW w:w="1531" w:type="dxa"/>
            <w:vAlign w:val="center"/>
          </w:tcPr>
          <w:p w:rsidR="004B5E0D" w:rsidRPr="004B5E0D" w:rsidRDefault="00E25BFF" w:rsidP="004B5E0D">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1.800,00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1.800,00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10</w:t>
            </w:r>
          </w:p>
        </w:tc>
        <w:tc>
          <w:tcPr>
            <w:tcW w:w="4535" w:type="dxa"/>
            <w:shd w:val="clear" w:color="000000" w:fill="FFFFFF"/>
            <w:noWrap/>
            <w:vAlign w:val="center"/>
          </w:tcPr>
          <w:p w:rsidR="004B5E0D" w:rsidRPr="002A6A9E" w:rsidRDefault="004B5E0D"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 xml:space="preserve">CONECTORES XLR 3 PINOS MACHO </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6</w:t>
            </w:r>
          </w:p>
        </w:tc>
        <w:tc>
          <w:tcPr>
            <w:tcW w:w="1701" w:type="dxa"/>
            <w:shd w:val="clear" w:color="auto" w:fill="auto"/>
            <w:vAlign w:val="center"/>
          </w:tcPr>
          <w:p w:rsidR="004B5E0D" w:rsidRPr="004B5E0D" w:rsidRDefault="00611BCC" w:rsidP="00611BCC">
            <w:pPr>
              <w:jc w:val="center"/>
              <w:rPr>
                <w:rFonts w:ascii="Times New Roman" w:hAnsi="Times New Roman" w:cs="Times New Roman"/>
                <w:color w:val="000000"/>
              </w:rPr>
            </w:pPr>
            <w:r>
              <w:rPr>
                <w:rFonts w:ascii="Times New Roman" w:hAnsi="Times New Roman" w:cs="Times New Roman"/>
                <w:color w:val="000000"/>
              </w:rPr>
              <w:t>31,50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189,00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11</w:t>
            </w:r>
          </w:p>
        </w:tc>
        <w:tc>
          <w:tcPr>
            <w:tcW w:w="4535" w:type="dxa"/>
            <w:shd w:val="clear" w:color="000000" w:fill="FFFFFF"/>
            <w:noWrap/>
            <w:vAlign w:val="center"/>
          </w:tcPr>
          <w:p w:rsidR="004B5E0D" w:rsidRPr="002A6A9E" w:rsidRDefault="004B5E0D"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 xml:space="preserve">ADAPTADORES XLR IP65 MACHO </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28</w:t>
            </w:r>
          </w:p>
        </w:tc>
        <w:tc>
          <w:tcPr>
            <w:tcW w:w="1701" w:type="dxa"/>
            <w:shd w:val="clear" w:color="auto" w:fill="auto"/>
            <w:vAlign w:val="center"/>
          </w:tcPr>
          <w:p w:rsidR="00611BCC" w:rsidRPr="004B5E0D" w:rsidRDefault="00611BCC" w:rsidP="00611BCC">
            <w:pPr>
              <w:jc w:val="center"/>
              <w:rPr>
                <w:rFonts w:ascii="Times New Roman" w:hAnsi="Times New Roman" w:cs="Times New Roman"/>
                <w:color w:val="000000"/>
              </w:rPr>
            </w:pPr>
            <w:r>
              <w:rPr>
                <w:rFonts w:ascii="Times New Roman" w:hAnsi="Times New Roman" w:cs="Times New Roman"/>
                <w:color w:val="000000"/>
              </w:rPr>
              <w:t>66,50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1.862,00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12</w:t>
            </w:r>
          </w:p>
        </w:tc>
        <w:tc>
          <w:tcPr>
            <w:tcW w:w="4535" w:type="dxa"/>
            <w:shd w:val="clear" w:color="000000" w:fill="FFFFFF"/>
            <w:noWrap/>
            <w:vAlign w:val="center"/>
          </w:tcPr>
          <w:p w:rsidR="004B5E0D" w:rsidRPr="002A6A9E" w:rsidRDefault="00752440"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ADAPTADORES XLR IP</w:t>
            </w:r>
            <w:r w:rsidR="004B5E0D" w:rsidRPr="002A6A9E">
              <w:rPr>
                <w:rFonts w:ascii="Times New Roman" w:eastAsia="Times New Roman" w:hAnsi="Times New Roman" w:cs="Times New Roman"/>
                <w:color w:val="000000"/>
                <w:sz w:val="20"/>
                <w:lang w:eastAsia="pt-BR"/>
              </w:rPr>
              <w:t>65 MACHO FÊMEA</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28</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66,50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1.862,00</w:t>
            </w:r>
          </w:p>
        </w:tc>
      </w:tr>
      <w:tr w:rsidR="004B5E0D" w:rsidRPr="004B5E0D" w:rsidTr="002A6A9E">
        <w:trPr>
          <w:trHeight w:val="397"/>
          <w:jc w:val="center"/>
        </w:trPr>
        <w:tc>
          <w:tcPr>
            <w:tcW w:w="803" w:type="dxa"/>
            <w:noWrap/>
            <w:vAlign w:val="center"/>
            <w:hideMark/>
          </w:tcPr>
          <w:p w:rsidR="004B5E0D" w:rsidRPr="004B5E0D" w:rsidRDefault="004B5E0D" w:rsidP="004B5E0D">
            <w:pPr>
              <w:jc w:val="center"/>
              <w:rPr>
                <w:rFonts w:ascii="Times New Roman" w:eastAsia="Times New Roman" w:hAnsi="Times New Roman" w:cs="Times New Roman"/>
                <w:color w:val="000000" w:themeColor="text1"/>
                <w:sz w:val="20"/>
                <w:szCs w:val="20"/>
                <w:lang w:eastAsia="pt-BR"/>
              </w:rPr>
            </w:pPr>
            <w:r w:rsidRPr="004B5E0D">
              <w:rPr>
                <w:rFonts w:ascii="Times New Roman" w:eastAsia="Times New Roman" w:hAnsi="Times New Roman" w:cs="Times New Roman"/>
                <w:color w:val="000000" w:themeColor="text1"/>
                <w:sz w:val="20"/>
                <w:szCs w:val="20"/>
                <w:lang w:eastAsia="pt-BR"/>
              </w:rPr>
              <w:t>13</w:t>
            </w:r>
          </w:p>
        </w:tc>
        <w:tc>
          <w:tcPr>
            <w:tcW w:w="4535" w:type="dxa"/>
            <w:shd w:val="clear" w:color="000000" w:fill="FFFFFF"/>
            <w:noWrap/>
            <w:vAlign w:val="center"/>
          </w:tcPr>
          <w:p w:rsidR="004B5E0D" w:rsidRPr="002A6A9E" w:rsidRDefault="004B5E0D" w:rsidP="00752440">
            <w:pPr>
              <w:jc w:val="both"/>
              <w:rPr>
                <w:rFonts w:ascii="Times New Roman" w:eastAsia="Times New Roman" w:hAnsi="Times New Roman" w:cs="Times New Roman"/>
                <w:color w:val="000000"/>
                <w:sz w:val="20"/>
                <w:lang w:eastAsia="pt-BR"/>
              </w:rPr>
            </w:pPr>
            <w:r w:rsidRPr="002A6A9E">
              <w:rPr>
                <w:rFonts w:ascii="Times New Roman" w:eastAsia="Times New Roman" w:hAnsi="Times New Roman" w:cs="Times New Roman"/>
                <w:color w:val="000000"/>
                <w:sz w:val="20"/>
                <w:lang w:eastAsia="pt-BR"/>
              </w:rPr>
              <w:t>MÓDULO DISJUNTOR 12 CANAIS COM 2 TOMADAS 2P+T POR CANAL 220V</w:t>
            </w:r>
          </w:p>
        </w:tc>
        <w:tc>
          <w:tcPr>
            <w:tcW w:w="567" w:type="dxa"/>
            <w:shd w:val="clear" w:color="auto" w:fill="auto"/>
            <w:vAlign w:val="center"/>
          </w:tcPr>
          <w:p w:rsidR="004B5E0D" w:rsidRPr="004B5E0D" w:rsidRDefault="004B5E0D" w:rsidP="004B5E0D">
            <w:pPr>
              <w:ind w:right="-108"/>
              <w:jc w:val="center"/>
              <w:rPr>
                <w:rFonts w:ascii="Times New Roman" w:hAnsi="Times New Roman" w:cs="Times New Roman"/>
                <w:color w:val="000000"/>
                <w:sz w:val="18"/>
                <w:szCs w:val="18"/>
              </w:rPr>
            </w:pPr>
            <w:r w:rsidRPr="004B5E0D">
              <w:rPr>
                <w:rFonts w:ascii="Times New Roman" w:hAnsi="Times New Roman" w:cs="Times New Roman"/>
                <w:color w:val="000000"/>
                <w:sz w:val="18"/>
                <w:szCs w:val="18"/>
              </w:rPr>
              <w:t>UN</w:t>
            </w:r>
          </w:p>
        </w:tc>
        <w:tc>
          <w:tcPr>
            <w:tcW w:w="1531" w:type="dxa"/>
            <w:vAlign w:val="center"/>
          </w:tcPr>
          <w:p w:rsidR="004B5E0D" w:rsidRPr="004B5E0D" w:rsidRDefault="004B5E0D" w:rsidP="004B5E0D">
            <w:pPr>
              <w:jc w:val="center"/>
              <w:rPr>
                <w:rFonts w:ascii="Times New Roman" w:eastAsia="Times New Roman" w:hAnsi="Times New Roman" w:cs="Times New Roman"/>
                <w:color w:val="000000"/>
                <w:lang w:eastAsia="pt-BR"/>
              </w:rPr>
            </w:pPr>
            <w:r w:rsidRPr="004B5E0D">
              <w:rPr>
                <w:rFonts w:ascii="Times New Roman" w:eastAsia="Times New Roman" w:hAnsi="Times New Roman" w:cs="Times New Roman"/>
                <w:color w:val="000000"/>
                <w:lang w:eastAsia="pt-BR"/>
              </w:rPr>
              <w:t>1</w:t>
            </w:r>
          </w:p>
        </w:tc>
        <w:tc>
          <w:tcPr>
            <w:tcW w:w="1701" w:type="dxa"/>
            <w:shd w:val="clear" w:color="auto" w:fill="auto"/>
            <w:vAlign w:val="center"/>
          </w:tcPr>
          <w:p w:rsidR="004B5E0D" w:rsidRPr="004B5E0D" w:rsidRDefault="00611BCC" w:rsidP="004B5E0D">
            <w:pPr>
              <w:jc w:val="center"/>
              <w:rPr>
                <w:rFonts w:ascii="Times New Roman" w:hAnsi="Times New Roman" w:cs="Times New Roman"/>
                <w:color w:val="000000"/>
              </w:rPr>
            </w:pPr>
            <w:r>
              <w:rPr>
                <w:rFonts w:ascii="Times New Roman" w:hAnsi="Times New Roman" w:cs="Times New Roman"/>
                <w:color w:val="000000"/>
              </w:rPr>
              <w:t>1.649,00</w:t>
            </w:r>
          </w:p>
        </w:tc>
        <w:tc>
          <w:tcPr>
            <w:tcW w:w="1361" w:type="dxa"/>
            <w:gridSpan w:val="2"/>
            <w:shd w:val="clear" w:color="auto" w:fill="auto"/>
            <w:vAlign w:val="center"/>
          </w:tcPr>
          <w:p w:rsidR="004B5E0D" w:rsidRPr="004B5E0D" w:rsidRDefault="00E25BFF" w:rsidP="004B5E0D">
            <w:pPr>
              <w:jc w:val="center"/>
              <w:rPr>
                <w:rFonts w:ascii="Times New Roman" w:hAnsi="Times New Roman" w:cs="Times New Roman"/>
                <w:color w:val="000000"/>
              </w:rPr>
            </w:pPr>
            <w:r>
              <w:rPr>
                <w:rFonts w:ascii="Times New Roman" w:hAnsi="Times New Roman" w:cs="Times New Roman"/>
                <w:color w:val="000000"/>
              </w:rPr>
              <w:t>1.649,00</w:t>
            </w:r>
          </w:p>
        </w:tc>
      </w:tr>
      <w:tr w:rsidR="004B5E0D" w:rsidRPr="004B5E0D" w:rsidTr="002A6A9E">
        <w:trPr>
          <w:gridAfter w:val="1"/>
          <w:wAfter w:w="13" w:type="dxa"/>
          <w:trHeight w:val="397"/>
          <w:jc w:val="center"/>
        </w:trPr>
        <w:tc>
          <w:tcPr>
            <w:tcW w:w="10485" w:type="dxa"/>
            <w:gridSpan w:val="6"/>
            <w:vAlign w:val="center"/>
          </w:tcPr>
          <w:p w:rsidR="004B5E0D" w:rsidRPr="004B5E0D" w:rsidRDefault="004B5E0D" w:rsidP="00F663DB">
            <w:pPr>
              <w:jc w:val="center"/>
              <w:rPr>
                <w:rFonts w:ascii="Times New Roman" w:hAnsi="Times New Roman" w:cs="Times New Roman"/>
                <w:b/>
                <w:color w:val="000000"/>
                <w:sz w:val="20"/>
                <w:szCs w:val="20"/>
              </w:rPr>
            </w:pPr>
            <w:r w:rsidRPr="002A6A9E">
              <w:rPr>
                <w:rFonts w:ascii="Times New Roman" w:hAnsi="Times New Roman" w:cs="Times New Roman"/>
                <w:b/>
                <w:color w:val="000000"/>
                <w:szCs w:val="20"/>
              </w:rPr>
              <w:t xml:space="preserve">VALOR TOTAL: R$ </w:t>
            </w:r>
            <w:r w:rsidR="002A6A9E" w:rsidRPr="002A6A9E">
              <w:rPr>
                <w:rFonts w:ascii="Times New Roman" w:hAnsi="Times New Roman" w:cs="Times New Roman"/>
                <w:b/>
                <w:color w:val="000000"/>
                <w:szCs w:val="20"/>
              </w:rPr>
              <w:t>59</w:t>
            </w:r>
            <w:r w:rsidR="002A6A9E">
              <w:rPr>
                <w:rFonts w:ascii="Times New Roman" w:hAnsi="Times New Roman" w:cs="Times New Roman"/>
                <w:b/>
                <w:color w:val="000000"/>
                <w:szCs w:val="20"/>
              </w:rPr>
              <w:t>.</w:t>
            </w:r>
            <w:r w:rsidR="00F663DB">
              <w:rPr>
                <w:rFonts w:ascii="Times New Roman" w:hAnsi="Times New Roman" w:cs="Times New Roman"/>
                <w:b/>
                <w:color w:val="000000"/>
                <w:szCs w:val="20"/>
              </w:rPr>
              <w:t>1</w:t>
            </w:r>
            <w:r w:rsidR="002A6A9E" w:rsidRPr="002A6A9E">
              <w:rPr>
                <w:rFonts w:ascii="Times New Roman" w:hAnsi="Times New Roman" w:cs="Times New Roman"/>
                <w:b/>
                <w:color w:val="000000"/>
                <w:szCs w:val="20"/>
              </w:rPr>
              <w:t>85</w:t>
            </w:r>
            <w:r w:rsidR="002A6A9E">
              <w:rPr>
                <w:rFonts w:ascii="Times New Roman" w:hAnsi="Times New Roman" w:cs="Times New Roman"/>
                <w:b/>
                <w:color w:val="000000"/>
                <w:szCs w:val="20"/>
              </w:rPr>
              <w:t xml:space="preserve">,00 (Cinquenta e nove mil </w:t>
            </w:r>
            <w:r w:rsidR="00F663DB">
              <w:rPr>
                <w:rFonts w:ascii="Times New Roman" w:hAnsi="Times New Roman" w:cs="Times New Roman"/>
                <w:b/>
                <w:color w:val="000000"/>
                <w:szCs w:val="20"/>
              </w:rPr>
              <w:t>cento</w:t>
            </w:r>
            <w:r w:rsidR="002A6A9E">
              <w:rPr>
                <w:rFonts w:ascii="Times New Roman" w:hAnsi="Times New Roman" w:cs="Times New Roman"/>
                <w:b/>
                <w:color w:val="000000"/>
                <w:szCs w:val="20"/>
              </w:rPr>
              <w:t xml:space="preserve"> e oitenta e cinco reais)</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2A6A9E">
        <w:rPr>
          <w:rFonts w:ascii="Times New Roman" w:hAnsi="Times New Roman" w:cs="Times New Roman"/>
          <w:color w:val="000000" w:themeColor="text1"/>
          <w:sz w:val="24"/>
          <w:szCs w:val="24"/>
        </w:rPr>
        <w:t xml:space="preserve">Selbach, RS, </w:t>
      </w:r>
      <w:r w:rsidR="002A6A9E" w:rsidRPr="002A6A9E">
        <w:rPr>
          <w:rFonts w:ascii="Times New Roman" w:hAnsi="Times New Roman" w:cs="Times New Roman"/>
          <w:color w:val="000000" w:themeColor="text1"/>
          <w:sz w:val="24"/>
          <w:szCs w:val="24"/>
        </w:rPr>
        <w:t>20</w:t>
      </w:r>
      <w:r w:rsidRPr="002A6A9E">
        <w:rPr>
          <w:rFonts w:ascii="Times New Roman" w:hAnsi="Times New Roman" w:cs="Times New Roman"/>
          <w:color w:val="000000" w:themeColor="text1"/>
          <w:sz w:val="24"/>
          <w:szCs w:val="24"/>
        </w:rPr>
        <w:t xml:space="preserve"> de </w:t>
      </w:r>
      <w:r w:rsidR="00752440" w:rsidRPr="002A6A9E">
        <w:rPr>
          <w:rFonts w:ascii="Times New Roman" w:hAnsi="Times New Roman" w:cs="Times New Roman"/>
          <w:color w:val="000000" w:themeColor="text1"/>
          <w:sz w:val="24"/>
          <w:szCs w:val="24"/>
        </w:rPr>
        <w:t>outubro</w:t>
      </w:r>
      <w:r w:rsidRPr="002A6A9E">
        <w:rPr>
          <w:rFonts w:ascii="Times New Roman" w:hAnsi="Times New Roman" w:cs="Times New Roman"/>
          <w:color w:val="000000" w:themeColor="text1"/>
          <w:sz w:val="24"/>
          <w:szCs w:val="24"/>
        </w:rPr>
        <w:t xml:space="preserve"> de 2021.</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2A6A9E" w:rsidRDefault="002A6A9E"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D92CEF" w:rsidRPr="00811D22"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Default="00811D22" w:rsidP="0054466B">
      <w:pPr>
        <w:pStyle w:val="NormalWeb"/>
        <w:spacing w:before="0" w:beforeAutospacing="0" w:after="0" w:afterAutospacing="0"/>
        <w:jc w:val="center"/>
        <w:rPr>
          <w:rFonts w:ascii="Times New Roman" w:hAnsi="Times New Roman" w:cs="Times New Roman"/>
          <w:b/>
          <w:iCs/>
        </w:rPr>
      </w:pPr>
    </w:p>
    <w:p w:rsidR="0054466B" w:rsidRPr="0054466B" w:rsidRDefault="00172417" w:rsidP="00D92CEF">
      <w:pPr>
        <w:spacing w:after="0" w:line="240" w:lineRule="auto"/>
        <w:jc w:val="center"/>
        <w:rPr>
          <w:rFonts w:ascii="Times New Roman" w:hAnsi="Times New Roman" w:cs="Times New Roman"/>
          <w:b/>
          <w:sz w:val="24"/>
        </w:rPr>
      </w:pPr>
      <w:r>
        <w:rPr>
          <w:rFonts w:ascii="Times New Roman" w:hAnsi="Times New Roman" w:cs="Times New Roman"/>
          <w:b/>
          <w:sz w:val="24"/>
        </w:rPr>
        <w:t>KATIA MICHELE PASSINATTO</w:t>
      </w:r>
    </w:p>
    <w:p w:rsidR="0054466B" w:rsidRPr="0054466B" w:rsidRDefault="0054466B" w:rsidP="00D92CEF">
      <w:pPr>
        <w:spacing w:after="0" w:line="240" w:lineRule="auto"/>
        <w:jc w:val="center"/>
        <w:rPr>
          <w:rFonts w:ascii="Times New Roman" w:hAnsi="Times New Roman" w:cs="Times New Roman"/>
          <w:sz w:val="24"/>
        </w:rPr>
      </w:pPr>
      <w:r w:rsidRPr="0054466B">
        <w:rPr>
          <w:rFonts w:ascii="Times New Roman" w:hAnsi="Times New Roman" w:cs="Times New Roman"/>
          <w:sz w:val="24"/>
        </w:rPr>
        <w:t xml:space="preserve">Secretaria Municipal de </w:t>
      </w:r>
      <w:r w:rsidR="00172417">
        <w:rPr>
          <w:rFonts w:ascii="Times New Roman" w:hAnsi="Times New Roman" w:cs="Times New Roman"/>
          <w:sz w:val="24"/>
        </w:rPr>
        <w:t>Administração, Fazenda e Planejamento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54466B">
        <w:rPr>
          <w:rFonts w:ascii="Times New Roman" w:hAnsi="Times New Roman" w:cs="Times New Roman"/>
          <w:sz w:val="24"/>
        </w:rPr>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661B1C">
        <w:rPr>
          <w:rFonts w:ascii="Times New Roman" w:hAnsi="Times New Roman" w:cs="Times New Roman"/>
          <w:color w:val="000000" w:themeColor="text1"/>
        </w:rPr>
        <w:t xml:space="preserve">Referência: PREGÃO </w:t>
      </w:r>
      <w:r w:rsidR="00491A32" w:rsidRPr="00661B1C">
        <w:rPr>
          <w:rFonts w:ascii="Times New Roman" w:hAnsi="Times New Roman" w:cs="Times New Roman"/>
          <w:color w:val="000000" w:themeColor="text1"/>
        </w:rPr>
        <w:t>ELETRÔNICO</w:t>
      </w:r>
      <w:r w:rsidRPr="00661B1C">
        <w:rPr>
          <w:rFonts w:ascii="Times New Roman" w:hAnsi="Times New Roman" w:cs="Times New Roman"/>
          <w:color w:val="000000" w:themeColor="text1"/>
        </w:rPr>
        <w:t xml:space="preserve"> </w:t>
      </w:r>
      <w:r w:rsidRPr="00661B1C">
        <w:rPr>
          <w:rFonts w:ascii="Times New Roman" w:hAnsi="Times New Roman" w:cs="Times New Roman"/>
          <w:b/>
          <w:bCs/>
          <w:color w:val="000000" w:themeColor="text1"/>
        </w:rPr>
        <w:t xml:space="preserve">Nº </w:t>
      </w:r>
      <w:r w:rsidR="00735FBF">
        <w:rPr>
          <w:rFonts w:ascii="Times New Roman" w:hAnsi="Times New Roman" w:cs="Times New Roman"/>
          <w:b/>
          <w:bCs/>
          <w:color w:val="000000" w:themeColor="text1"/>
        </w:rPr>
        <w:t>26/2021</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1E0794">
      <w:pPr>
        <w:tabs>
          <w:tab w:val="left" w:pos="1276"/>
          <w:tab w:val="left" w:pos="6465"/>
        </w:tabs>
        <w:spacing w:after="0" w:line="240" w:lineRule="auto"/>
        <w:jc w:val="both"/>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001E0794">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1E0794">
      <w:pPr>
        <w:tabs>
          <w:tab w:val="left" w:pos="1276"/>
          <w:tab w:val="left" w:pos="6465"/>
        </w:tabs>
        <w:spacing w:after="0" w:line="240" w:lineRule="auto"/>
        <w:jc w:val="both"/>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1E0794"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3</w:t>
      </w:r>
      <w:r>
        <w:rPr>
          <w:rFonts w:ascii="Times New Roman" w:hAnsi="Times New Roman" w:cs="Times New Roman"/>
          <w:bCs/>
          <w:color w:val="000000"/>
        </w:rPr>
        <w:t>.</w:t>
      </w:r>
      <w:r w:rsidRPr="000A7E6F">
        <w:rPr>
          <w:rFonts w:ascii="Times New Roman" w:hAnsi="Times New Roman" w:cs="Times New Roman"/>
          <w:bCs/>
          <w:color w:val="000000"/>
        </w:rPr>
        <w:t xml:space="preserve"> Temos ciência de que não serão aceitos, no momento da entrega,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de fabricante e/ou marca diferentes daqueles constantes da nossa proposta vencedora. </w:t>
      </w:r>
    </w:p>
    <w:p w:rsidR="000A7E6F" w:rsidRPr="000A7E6F" w:rsidRDefault="000A7E6F" w:rsidP="001E0794">
      <w:pPr>
        <w:tabs>
          <w:tab w:val="left" w:pos="1276"/>
          <w:tab w:val="left" w:pos="6465"/>
        </w:tabs>
        <w:spacing w:after="0" w:line="240" w:lineRule="auto"/>
        <w:jc w:val="both"/>
        <w:rPr>
          <w:rFonts w:ascii="Times New Roman" w:hAnsi="Times New Roman" w:cs="Times New Roman"/>
          <w:bCs/>
          <w:color w:val="000000"/>
        </w:rPr>
      </w:pPr>
      <w:r w:rsidRPr="00F663DB">
        <w:rPr>
          <w:rFonts w:ascii="Times New Roman" w:hAnsi="Times New Roman" w:cs="Times New Roman"/>
          <w:bCs/>
          <w:color w:val="000000"/>
        </w:rPr>
        <w:t>1.</w:t>
      </w:r>
      <w:r w:rsidR="001E0794" w:rsidRPr="00F663DB">
        <w:rPr>
          <w:rFonts w:ascii="Times New Roman" w:hAnsi="Times New Roman" w:cs="Times New Roman"/>
          <w:bCs/>
          <w:color w:val="000000"/>
        </w:rPr>
        <w:t>4</w:t>
      </w:r>
      <w:r w:rsidRPr="00F663DB">
        <w:rPr>
          <w:rFonts w:ascii="Times New Roman" w:hAnsi="Times New Roman" w:cs="Times New Roman"/>
          <w:bCs/>
          <w:color w:val="000000"/>
        </w:rPr>
        <w:t xml:space="preserve">. O prazo de entrega dos </w:t>
      </w:r>
      <w:r w:rsidR="001E0794" w:rsidRPr="00F663DB">
        <w:rPr>
          <w:rFonts w:ascii="Times New Roman" w:hAnsi="Times New Roman" w:cs="Times New Roman"/>
          <w:bCs/>
          <w:color w:val="000000"/>
        </w:rPr>
        <w:t>produtos</w:t>
      </w:r>
      <w:r w:rsidRPr="00F663DB">
        <w:rPr>
          <w:rFonts w:ascii="Times New Roman" w:hAnsi="Times New Roman" w:cs="Times New Roman"/>
          <w:bCs/>
          <w:color w:val="000000"/>
        </w:rPr>
        <w:t xml:space="preserve"> não será superior a </w:t>
      </w:r>
      <w:r w:rsidRPr="00F663DB">
        <w:rPr>
          <w:rFonts w:ascii="Times New Roman" w:hAnsi="Times New Roman" w:cs="Times New Roman"/>
          <w:b/>
          <w:bCs/>
          <w:color w:val="000000"/>
        </w:rPr>
        <w:t xml:space="preserve">10 (dez) dias </w:t>
      </w:r>
      <w:r w:rsidR="00F663DB" w:rsidRPr="00F663DB">
        <w:rPr>
          <w:rFonts w:ascii="Times New Roman" w:hAnsi="Times New Roman" w:cs="Times New Roman"/>
          <w:b/>
          <w:bCs/>
          <w:color w:val="000000"/>
        </w:rPr>
        <w:t>corridos</w:t>
      </w:r>
      <w:r w:rsidRPr="00F663DB">
        <w:rPr>
          <w:rFonts w:ascii="Times New Roman" w:hAnsi="Times New Roman" w:cs="Times New Roman"/>
          <w:bCs/>
          <w:color w:val="000000"/>
        </w:rPr>
        <w:t>, contados após a data de</w:t>
      </w:r>
      <w:r w:rsidRPr="000A7E6F">
        <w:rPr>
          <w:rFonts w:ascii="Times New Roman" w:hAnsi="Times New Roman" w:cs="Times New Roman"/>
          <w:bCs/>
          <w:color w:val="000000"/>
        </w:rPr>
        <w:t xml:space="preserve"> recebimento da nota de empenho, que poderá ser enviada por e</w:t>
      </w:r>
      <w:r w:rsidR="001E0794">
        <w:rPr>
          <w:rFonts w:ascii="Times New Roman" w:hAnsi="Times New Roman" w:cs="Times New Roman"/>
          <w:bCs/>
          <w:color w:val="000000"/>
        </w:rPr>
        <w:t>-mail</w:t>
      </w:r>
      <w:r w:rsidRPr="000A7E6F">
        <w:rPr>
          <w:rFonts w:ascii="Times New Roman" w:hAnsi="Times New Roman" w:cs="Times New Roman"/>
          <w:bCs/>
          <w:color w:val="000000"/>
        </w:rPr>
        <w:t>.</w:t>
      </w:r>
    </w:p>
    <w:p w:rsidR="000A7E6F" w:rsidRPr="00491A32" w:rsidRDefault="001E0794"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1.5</w:t>
      </w:r>
      <w:r w:rsidR="000A7E6F">
        <w:rPr>
          <w:rFonts w:ascii="Times New Roman" w:hAnsi="Times New Roman" w:cs="Times New Roman"/>
          <w:bCs/>
          <w:color w:val="000000"/>
        </w:rPr>
        <w:t>.</w:t>
      </w:r>
      <w:r w:rsidR="000A7E6F"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sidR="000A7E6F">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d) CPF: _______________________ RG: ______________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lastRenderedPageBreak/>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Default="000C19E3" w:rsidP="00491A32">
      <w:pPr>
        <w:autoSpaceDE w:val="0"/>
        <w:autoSpaceDN w:val="0"/>
        <w:adjustRightInd w:val="0"/>
        <w:spacing w:after="0" w:line="240" w:lineRule="auto"/>
        <w:jc w:val="center"/>
        <w:rPr>
          <w:rFonts w:ascii="Times New Roman" w:hAnsi="Times New Roman" w:cs="Times New Roman"/>
          <w:b/>
          <w:color w:val="000000"/>
        </w:rPr>
      </w:pPr>
    </w:p>
    <w:p w:rsidR="001E0794" w:rsidRPr="00491A32" w:rsidRDefault="001E0794"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637AC7" w:rsidRPr="00637AC7" w:rsidRDefault="002A6A9E" w:rsidP="00637AC7">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ANEXO III</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2021.</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1E0794" w:rsidRPr="00637AC7" w:rsidRDefault="001E0794"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w:t>
      </w:r>
      <w:bookmarkStart w:id="0" w:name="_GoBack"/>
      <w:bookmarkEnd w:id="0"/>
      <w:r w:rsidRPr="00637AC7">
        <w:rPr>
          <w:rFonts w:ascii="Times New Roman" w:hAnsi="Times New Roman" w:cs="Times New Roman"/>
          <w:b/>
          <w:bCs/>
          <w:color w:val="000000" w:themeColor="text1"/>
        </w:rPr>
        <w:t xml:space="preserve"> </w:t>
      </w:r>
      <w:r w:rsidR="002A6A9E">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2021.</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2A6A9E"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2021.</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sectPr w:rsidR="001E0794"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CB" w:rsidRDefault="00A90FCB" w:rsidP="00560797">
      <w:pPr>
        <w:spacing w:after="0" w:line="240" w:lineRule="auto"/>
      </w:pPr>
      <w:r>
        <w:separator/>
      </w:r>
    </w:p>
  </w:endnote>
  <w:endnote w:type="continuationSeparator" w:id="0">
    <w:p w:rsidR="00A90FCB" w:rsidRDefault="00A90FCB"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49" w:rsidRDefault="00705349" w:rsidP="00560797">
    <w:pPr>
      <w:pStyle w:val="Rodap"/>
      <w:jc w:val="right"/>
      <w:rPr>
        <w:rFonts w:ascii="Times New Roman" w:hAnsi="Times New Roman" w:cs="Times New Roman"/>
        <w:sz w:val="20"/>
      </w:rPr>
    </w:pPr>
  </w:p>
  <w:p w:rsidR="00705349" w:rsidRPr="00560797" w:rsidRDefault="00705349"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705349" w:rsidRPr="00560797" w:rsidRDefault="00705349"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CB" w:rsidRDefault="00A90FCB" w:rsidP="00560797">
      <w:pPr>
        <w:spacing w:after="0" w:line="240" w:lineRule="auto"/>
      </w:pPr>
      <w:r>
        <w:separator/>
      </w:r>
    </w:p>
  </w:footnote>
  <w:footnote w:type="continuationSeparator" w:id="0">
    <w:p w:rsidR="00A90FCB" w:rsidRDefault="00A90FCB"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49" w:rsidRPr="002F2332" w:rsidRDefault="00705349"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49" w:rsidRPr="00560797" w:rsidRDefault="00705349"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705349" w:rsidRPr="00560797" w:rsidRDefault="00705349"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705349" w:rsidRPr="00560797" w:rsidRDefault="00705349"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705349" w:rsidRPr="00560797" w:rsidRDefault="00705349"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705349" w:rsidRPr="00560797" w:rsidRDefault="00705349"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705349" w:rsidRDefault="00705349"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661B1C" w:rsidRPr="00560797" w:rsidRDefault="00661B1C"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661B1C" w:rsidRPr="00560797" w:rsidRDefault="00661B1C"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661B1C" w:rsidRDefault="00661B1C"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2" name="Imagem 2"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705349" w:rsidRPr="00560797" w:rsidRDefault="00705349">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4FD9"/>
    <w:multiLevelType w:val="hybridMultilevel"/>
    <w:tmpl w:val="059A2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8F25B2"/>
    <w:multiLevelType w:val="multilevel"/>
    <w:tmpl w:val="AA0AED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360821A2"/>
    <w:multiLevelType w:val="multilevel"/>
    <w:tmpl w:val="F88CBD28"/>
    <w:lvl w:ilvl="0">
      <w:start w:val="1"/>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4">
    <w:nsid w:val="5B39615C"/>
    <w:multiLevelType w:val="singleLevel"/>
    <w:tmpl w:val="916686F0"/>
    <w:lvl w:ilvl="0">
      <w:start w:val="3"/>
      <w:numFmt w:val="decimal"/>
      <w:lvlText w:val="1.%1 "/>
      <w:legacy w:legacy="1" w:legacySpace="0" w:legacyIndent="283"/>
      <w:lvlJc w:val="left"/>
      <w:pPr>
        <w:ind w:left="283" w:hanging="283"/>
      </w:pPr>
      <w:rPr>
        <w:rFonts w:ascii="Arial" w:hAnsi="Arial" w:cs="Arial" w:hint="default"/>
        <w:b w:val="0"/>
        <w:i w:val="0"/>
        <w:strike w:val="0"/>
        <w:dstrike w:val="0"/>
        <w:color w:val="000000"/>
        <w:sz w:val="24"/>
        <w:u w:val="none"/>
        <w:effect w:val="none"/>
      </w:rPr>
    </w:lvl>
  </w:abstractNum>
  <w:num w:numId="1">
    <w:abstractNumId w:val="3"/>
  </w:num>
  <w:num w:numId="2">
    <w:abstractNumId w:val="4"/>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15DC"/>
    <w:rsid w:val="00075A5E"/>
    <w:rsid w:val="0007788A"/>
    <w:rsid w:val="00085E08"/>
    <w:rsid w:val="00086D85"/>
    <w:rsid w:val="000A7E6F"/>
    <w:rsid w:val="000C19E3"/>
    <w:rsid w:val="000D5E22"/>
    <w:rsid w:val="000E61BC"/>
    <w:rsid w:val="000E6B63"/>
    <w:rsid w:val="00110E06"/>
    <w:rsid w:val="00114650"/>
    <w:rsid w:val="0011576E"/>
    <w:rsid w:val="00125C96"/>
    <w:rsid w:val="001262CF"/>
    <w:rsid w:val="00147D82"/>
    <w:rsid w:val="001614FF"/>
    <w:rsid w:val="00172417"/>
    <w:rsid w:val="001A33FF"/>
    <w:rsid w:val="001B7ADA"/>
    <w:rsid w:val="001E0794"/>
    <w:rsid w:val="00212A67"/>
    <w:rsid w:val="002235B8"/>
    <w:rsid w:val="00240635"/>
    <w:rsid w:val="00291D09"/>
    <w:rsid w:val="0029384F"/>
    <w:rsid w:val="002A1793"/>
    <w:rsid w:val="002A2297"/>
    <w:rsid w:val="002A6A9E"/>
    <w:rsid w:val="002C439A"/>
    <w:rsid w:val="002C724E"/>
    <w:rsid w:val="002D342B"/>
    <w:rsid w:val="002E0541"/>
    <w:rsid w:val="0030500C"/>
    <w:rsid w:val="00344506"/>
    <w:rsid w:val="003567F9"/>
    <w:rsid w:val="00370C1C"/>
    <w:rsid w:val="003959DC"/>
    <w:rsid w:val="003A7EE3"/>
    <w:rsid w:val="003C23BA"/>
    <w:rsid w:val="003D1D2D"/>
    <w:rsid w:val="003D7C0C"/>
    <w:rsid w:val="003E68A8"/>
    <w:rsid w:val="003F0456"/>
    <w:rsid w:val="00420929"/>
    <w:rsid w:val="0043304B"/>
    <w:rsid w:val="004631D7"/>
    <w:rsid w:val="004916A8"/>
    <w:rsid w:val="00491A32"/>
    <w:rsid w:val="004A0FCE"/>
    <w:rsid w:val="004A33A5"/>
    <w:rsid w:val="004B2465"/>
    <w:rsid w:val="004B5E0D"/>
    <w:rsid w:val="004C59B2"/>
    <w:rsid w:val="004E0C9D"/>
    <w:rsid w:val="004E3FC5"/>
    <w:rsid w:val="004E4F79"/>
    <w:rsid w:val="004E6C24"/>
    <w:rsid w:val="00510BE8"/>
    <w:rsid w:val="00522E01"/>
    <w:rsid w:val="00526E0D"/>
    <w:rsid w:val="00532EB4"/>
    <w:rsid w:val="005378D1"/>
    <w:rsid w:val="0054466B"/>
    <w:rsid w:val="00560797"/>
    <w:rsid w:val="00565E04"/>
    <w:rsid w:val="00571744"/>
    <w:rsid w:val="0059276A"/>
    <w:rsid w:val="005A503B"/>
    <w:rsid w:val="005B761C"/>
    <w:rsid w:val="005D0B75"/>
    <w:rsid w:val="005D50C6"/>
    <w:rsid w:val="00602596"/>
    <w:rsid w:val="00611BCC"/>
    <w:rsid w:val="00615CC8"/>
    <w:rsid w:val="00617882"/>
    <w:rsid w:val="00620991"/>
    <w:rsid w:val="00637AC7"/>
    <w:rsid w:val="00661B1C"/>
    <w:rsid w:val="00663889"/>
    <w:rsid w:val="006752AB"/>
    <w:rsid w:val="00691C66"/>
    <w:rsid w:val="00694412"/>
    <w:rsid w:val="00696034"/>
    <w:rsid w:val="006D74B8"/>
    <w:rsid w:val="006E6605"/>
    <w:rsid w:val="0070351D"/>
    <w:rsid w:val="00705349"/>
    <w:rsid w:val="00707F62"/>
    <w:rsid w:val="00711505"/>
    <w:rsid w:val="00715278"/>
    <w:rsid w:val="00717A7F"/>
    <w:rsid w:val="007243BD"/>
    <w:rsid w:val="00730F8A"/>
    <w:rsid w:val="00735FBF"/>
    <w:rsid w:val="0074112E"/>
    <w:rsid w:val="00747211"/>
    <w:rsid w:val="00752440"/>
    <w:rsid w:val="007746C1"/>
    <w:rsid w:val="007B5344"/>
    <w:rsid w:val="007C1DD6"/>
    <w:rsid w:val="007D610C"/>
    <w:rsid w:val="00811D22"/>
    <w:rsid w:val="00816475"/>
    <w:rsid w:val="00825DFC"/>
    <w:rsid w:val="0083320F"/>
    <w:rsid w:val="00853A52"/>
    <w:rsid w:val="00873E7E"/>
    <w:rsid w:val="00890CD3"/>
    <w:rsid w:val="008C230B"/>
    <w:rsid w:val="008C26A8"/>
    <w:rsid w:val="008C50E9"/>
    <w:rsid w:val="008D09C3"/>
    <w:rsid w:val="008D7A94"/>
    <w:rsid w:val="008E4E46"/>
    <w:rsid w:val="00972111"/>
    <w:rsid w:val="00982C28"/>
    <w:rsid w:val="009C7862"/>
    <w:rsid w:val="009D0C75"/>
    <w:rsid w:val="009E562D"/>
    <w:rsid w:val="009E73D9"/>
    <w:rsid w:val="00A00855"/>
    <w:rsid w:val="00A3128C"/>
    <w:rsid w:val="00A5360C"/>
    <w:rsid w:val="00A650A4"/>
    <w:rsid w:val="00A656C2"/>
    <w:rsid w:val="00A65DD0"/>
    <w:rsid w:val="00A66A60"/>
    <w:rsid w:val="00A755DB"/>
    <w:rsid w:val="00A90FCB"/>
    <w:rsid w:val="00A95A1F"/>
    <w:rsid w:val="00A96603"/>
    <w:rsid w:val="00AA1886"/>
    <w:rsid w:val="00AC62B2"/>
    <w:rsid w:val="00AC672F"/>
    <w:rsid w:val="00AE3056"/>
    <w:rsid w:val="00AF1DE1"/>
    <w:rsid w:val="00B12295"/>
    <w:rsid w:val="00B151FF"/>
    <w:rsid w:val="00B36A23"/>
    <w:rsid w:val="00B414F0"/>
    <w:rsid w:val="00B57D70"/>
    <w:rsid w:val="00B62C18"/>
    <w:rsid w:val="00B63C0D"/>
    <w:rsid w:val="00B70027"/>
    <w:rsid w:val="00B7220C"/>
    <w:rsid w:val="00B91359"/>
    <w:rsid w:val="00B96104"/>
    <w:rsid w:val="00BA39EF"/>
    <w:rsid w:val="00BC5D60"/>
    <w:rsid w:val="00BD2192"/>
    <w:rsid w:val="00BD6072"/>
    <w:rsid w:val="00C1211A"/>
    <w:rsid w:val="00C256D7"/>
    <w:rsid w:val="00C26499"/>
    <w:rsid w:val="00C31983"/>
    <w:rsid w:val="00C354B6"/>
    <w:rsid w:val="00C429E9"/>
    <w:rsid w:val="00C549FB"/>
    <w:rsid w:val="00C5593A"/>
    <w:rsid w:val="00C66A68"/>
    <w:rsid w:val="00C931A6"/>
    <w:rsid w:val="00CC376D"/>
    <w:rsid w:val="00CD7466"/>
    <w:rsid w:val="00CE2384"/>
    <w:rsid w:val="00CE3B12"/>
    <w:rsid w:val="00CE66EE"/>
    <w:rsid w:val="00D248BA"/>
    <w:rsid w:val="00D3123E"/>
    <w:rsid w:val="00D41126"/>
    <w:rsid w:val="00D546AC"/>
    <w:rsid w:val="00D84636"/>
    <w:rsid w:val="00D86F45"/>
    <w:rsid w:val="00D90264"/>
    <w:rsid w:val="00D92CEF"/>
    <w:rsid w:val="00D97D1E"/>
    <w:rsid w:val="00DA0583"/>
    <w:rsid w:val="00DA4C2E"/>
    <w:rsid w:val="00DC4D45"/>
    <w:rsid w:val="00DD4BA7"/>
    <w:rsid w:val="00DD5D9D"/>
    <w:rsid w:val="00DD7C7D"/>
    <w:rsid w:val="00E10657"/>
    <w:rsid w:val="00E13367"/>
    <w:rsid w:val="00E25BFF"/>
    <w:rsid w:val="00E272AA"/>
    <w:rsid w:val="00E62EDD"/>
    <w:rsid w:val="00E7124E"/>
    <w:rsid w:val="00E81FF8"/>
    <w:rsid w:val="00EA0E48"/>
    <w:rsid w:val="00EB535E"/>
    <w:rsid w:val="00EC0A01"/>
    <w:rsid w:val="00ED5EDA"/>
    <w:rsid w:val="00ED6DE7"/>
    <w:rsid w:val="00EF0A9D"/>
    <w:rsid w:val="00EF36FE"/>
    <w:rsid w:val="00F01C1B"/>
    <w:rsid w:val="00F128C6"/>
    <w:rsid w:val="00F15801"/>
    <w:rsid w:val="00F30185"/>
    <w:rsid w:val="00F31052"/>
    <w:rsid w:val="00F31ADB"/>
    <w:rsid w:val="00F47CFE"/>
    <w:rsid w:val="00F663DB"/>
    <w:rsid w:val="00F832BB"/>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uiPriority w:val="9"/>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character" w:styleId="Forte">
    <w:name w:val="Strong"/>
    <w:basedOn w:val="Fontepargpadro"/>
    <w:uiPriority w:val="22"/>
    <w:qFormat/>
    <w:rsid w:val="00172417"/>
    <w:rPr>
      <w:b/>
      <w:bCs/>
    </w:rPr>
  </w:style>
  <w:style w:type="character" w:customStyle="1" w:styleId="apple-converted-space">
    <w:name w:val="apple-converted-space"/>
    <w:rsid w:val="001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EFDA-1C9B-4A8A-8F53-4755911B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20</Pages>
  <Words>7725</Words>
  <Characters>41720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109</cp:revision>
  <cp:lastPrinted>2021-09-28T10:48:00Z</cp:lastPrinted>
  <dcterms:created xsi:type="dcterms:W3CDTF">2021-04-23T19:20:00Z</dcterms:created>
  <dcterms:modified xsi:type="dcterms:W3CDTF">2021-10-20T18:24:00Z</dcterms:modified>
</cp:coreProperties>
</file>