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 xml:space="preserve">PROCESSO LICITATÓRIO N° </w:t>
      </w:r>
      <w:r w:rsidRPr="00494E14">
        <w:rPr>
          <w:rFonts w:eastAsia="Times New Roman"/>
          <w:b/>
          <w:sz w:val="22"/>
          <w:lang w:eastAsia="pt-BR"/>
        </w:rPr>
        <w:t>99</w:t>
      </w:r>
      <w:r w:rsidRPr="009E4715">
        <w:rPr>
          <w:rFonts w:eastAsia="Times New Roman"/>
          <w:b/>
          <w:sz w:val="22"/>
          <w:lang w:eastAsia="pt-BR"/>
        </w:rPr>
        <w:t>/</w:t>
      </w:r>
      <w:r w:rsidRPr="00494E14">
        <w:rPr>
          <w:rFonts w:eastAsia="Times New Roman"/>
          <w:b/>
          <w:sz w:val="22"/>
          <w:lang w:eastAsia="pt-BR"/>
        </w:rPr>
        <w:t>2020</w:t>
      </w:r>
      <w:r w:rsidRPr="009E4715">
        <w:rPr>
          <w:rFonts w:eastAsia="Times New Roman"/>
          <w:b/>
          <w:sz w:val="22"/>
          <w:lang w:eastAsia="pt-BR"/>
        </w:rPr>
        <w:t xml:space="preserve"> 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 xml:space="preserve">EDITAL DE CONVITE Nº </w:t>
      </w:r>
      <w:r w:rsidRPr="00494E14">
        <w:rPr>
          <w:rFonts w:eastAsia="Times New Roman"/>
          <w:b/>
          <w:sz w:val="22"/>
          <w:lang w:eastAsia="pt-BR"/>
        </w:rPr>
        <w:t>12</w:t>
      </w:r>
      <w:r w:rsidRPr="009E4715">
        <w:rPr>
          <w:rFonts w:eastAsia="Times New Roman"/>
          <w:b/>
          <w:sz w:val="22"/>
          <w:lang w:eastAsia="pt-BR"/>
        </w:rPr>
        <w:t>/</w:t>
      </w:r>
      <w:r w:rsidRPr="00494E14">
        <w:rPr>
          <w:rFonts w:eastAsia="Times New Roman"/>
          <w:b/>
          <w:sz w:val="22"/>
          <w:lang w:eastAsia="pt-BR"/>
        </w:rPr>
        <w:t>2020</w:t>
      </w:r>
      <w:r w:rsidRPr="009E4715">
        <w:rPr>
          <w:rFonts w:eastAsia="Times New Roman"/>
          <w:b/>
          <w:sz w:val="22"/>
          <w:lang w:eastAsia="pt-BR"/>
        </w:rPr>
        <w:t xml:space="preserve"> 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 xml:space="preserve">TIPO: </w:t>
      </w:r>
      <w:r w:rsidRPr="00494E14">
        <w:rPr>
          <w:rFonts w:eastAsia="Times New Roman"/>
          <w:b/>
          <w:sz w:val="22"/>
          <w:lang w:eastAsia="pt-BR"/>
        </w:rPr>
        <w:t>Menor preço - Unitário</w:t>
      </w:r>
    </w:p>
    <w:p w:rsidR="00494E14" w:rsidRPr="009E4715" w:rsidRDefault="00494E14" w:rsidP="00494E14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>O MUNICÍPIO DE SELBACH/RS</w:t>
      </w:r>
      <w:r w:rsidRPr="009E4715">
        <w:rPr>
          <w:rFonts w:eastAsia="Times New Roman"/>
          <w:sz w:val="22"/>
          <w:lang w:eastAsia="pt-BR"/>
        </w:rPr>
        <w:t xml:space="preserve">, pessoa jurídica de direito público, torna público pelo presente </w:t>
      </w:r>
      <w:r w:rsidRPr="009E4715">
        <w:rPr>
          <w:rFonts w:eastAsia="Times New Roman"/>
          <w:b/>
          <w:sz w:val="22"/>
          <w:lang w:eastAsia="pt-BR"/>
        </w:rPr>
        <w:t xml:space="preserve">CONVITE </w:t>
      </w:r>
      <w:r w:rsidRPr="009E4715">
        <w:rPr>
          <w:rFonts w:eastAsia="Times New Roman"/>
          <w:sz w:val="22"/>
          <w:lang w:eastAsia="pt-BR"/>
        </w:rPr>
        <w:t>do tipo</w:t>
      </w:r>
      <w:r w:rsidRPr="009E4715">
        <w:rPr>
          <w:rFonts w:eastAsia="Times New Roman"/>
          <w:b/>
          <w:sz w:val="22"/>
          <w:lang w:eastAsia="pt-BR"/>
        </w:rPr>
        <w:t xml:space="preserve"> </w:t>
      </w:r>
      <w:r w:rsidRPr="00494E14">
        <w:rPr>
          <w:rFonts w:eastAsia="Times New Roman"/>
          <w:b/>
          <w:sz w:val="22"/>
          <w:lang w:eastAsia="pt-BR"/>
        </w:rPr>
        <w:t>Menor preço - Unitário</w:t>
      </w:r>
      <w:r w:rsidRPr="009E4715">
        <w:rPr>
          <w:rFonts w:eastAsia="Times New Roman"/>
          <w:sz w:val="22"/>
          <w:lang w:eastAsia="pt-BR"/>
        </w:rPr>
        <w:t xml:space="preserve">, que serão recebidos os envelopes, contendo documentos e proposta, no Largo Adolfo Albino Werlang, nº 14, Bairro Centro, </w:t>
      </w:r>
      <w:proofErr w:type="spellStart"/>
      <w:r w:rsidRPr="009E4715">
        <w:rPr>
          <w:rFonts w:eastAsia="Times New Roman"/>
          <w:sz w:val="22"/>
          <w:lang w:eastAsia="pt-BR"/>
        </w:rPr>
        <w:t>Selbach</w:t>
      </w:r>
      <w:proofErr w:type="spellEnd"/>
      <w:r w:rsidRPr="009E4715">
        <w:rPr>
          <w:rFonts w:eastAsia="Times New Roman"/>
          <w:sz w:val="22"/>
          <w:lang w:eastAsia="pt-BR"/>
        </w:rPr>
        <w:t>/RS, na sala de Reuniões e Licitações, até o dia</w:t>
      </w:r>
      <w:r w:rsidRPr="009E4715">
        <w:rPr>
          <w:rFonts w:eastAsia="Times New Roman"/>
          <w:b/>
          <w:sz w:val="22"/>
          <w:lang w:eastAsia="pt-BR"/>
        </w:rPr>
        <w:t xml:space="preserve"> </w:t>
      </w:r>
      <w:r w:rsidRPr="00494E14">
        <w:rPr>
          <w:rFonts w:eastAsia="Times New Roman"/>
          <w:b/>
          <w:sz w:val="22"/>
          <w:lang w:eastAsia="pt-BR"/>
        </w:rPr>
        <w:t>09 de setembro de 2020</w:t>
      </w:r>
      <w:r>
        <w:rPr>
          <w:rFonts w:eastAsia="Times New Roman"/>
          <w:sz w:val="22"/>
          <w:lang w:eastAsia="pt-BR"/>
        </w:rPr>
        <w:t>, até a</w:t>
      </w:r>
      <w:r w:rsidRPr="009E4715">
        <w:rPr>
          <w:rFonts w:eastAsia="Times New Roman"/>
          <w:sz w:val="22"/>
          <w:lang w:eastAsia="pt-BR"/>
        </w:rPr>
        <w:t>s</w:t>
      </w:r>
      <w:r w:rsidRPr="009E4715">
        <w:rPr>
          <w:rFonts w:eastAsia="Times New Roman"/>
          <w:b/>
          <w:sz w:val="22"/>
          <w:lang w:eastAsia="pt-BR"/>
        </w:rPr>
        <w:t xml:space="preserve"> </w:t>
      </w:r>
      <w:proofErr w:type="gramStart"/>
      <w:r w:rsidRPr="00494E14">
        <w:rPr>
          <w:rFonts w:eastAsia="Times New Roman"/>
          <w:b/>
          <w:sz w:val="22"/>
          <w:lang w:eastAsia="pt-BR"/>
        </w:rPr>
        <w:t>08:30</w:t>
      </w:r>
      <w:proofErr w:type="gramEnd"/>
      <w:r w:rsidRPr="009E4715">
        <w:rPr>
          <w:rFonts w:eastAsia="Times New Roman"/>
          <w:sz w:val="22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>1 - DO OBJETO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1.1 - A presente licitação visa à</w:t>
      </w:r>
      <w:r w:rsidRPr="009E4715">
        <w:rPr>
          <w:rFonts w:eastAsia="Times New Roman"/>
          <w:b/>
          <w:sz w:val="22"/>
          <w:lang w:eastAsia="pt-BR"/>
        </w:rPr>
        <w:t xml:space="preserve"> </w:t>
      </w:r>
      <w:r w:rsidRPr="00494E14">
        <w:rPr>
          <w:rFonts w:eastAsia="Times New Roman"/>
          <w:b/>
          <w:sz w:val="22"/>
          <w:lang w:eastAsia="pt-BR"/>
        </w:rPr>
        <w:t>Aquisição de Equipamentos de Informática para a Secretaria de Saúde</w:t>
      </w:r>
      <w:r w:rsidRPr="009E4715">
        <w:rPr>
          <w:rFonts w:eastAsia="Times New Roman"/>
          <w:b/>
          <w:sz w:val="22"/>
          <w:lang w:eastAsia="pt-BR"/>
        </w:rPr>
        <w:t>.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>2 - DAS CONDIÇÕES DE PARTICIPAÇÃO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napToGrid w:val="0"/>
          <w:sz w:val="22"/>
          <w:lang w:eastAsia="pt-BR"/>
        </w:rPr>
        <w:t xml:space="preserve">2.1. </w:t>
      </w:r>
      <w:r w:rsidRPr="009E4715">
        <w:rPr>
          <w:rFonts w:eastAsia="Times New Roman"/>
          <w:sz w:val="22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494E14" w:rsidRPr="009E4715" w:rsidRDefault="00494E14" w:rsidP="00494E1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  <w:r w:rsidRPr="009E4715">
        <w:rPr>
          <w:rFonts w:eastAsia="Times New Roman"/>
          <w:snapToGrid w:val="0"/>
          <w:sz w:val="22"/>
          <w:lang w:eastAsia="pt-BR"/>
        </w:rPr>
        <w:t xml:space="preserve">2.2. É vedada a qualquer pessoa física ou jurídica a representação, na presente licitação, de mais de uma empresa. </w:t>
      </w:r>
    </w:p>
    <w:p w:rsidR="00494E14" w:rsidRPr="009E4715" w:rsidRDefault="00494E14" w:rsidP="00494E1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  <w:r w:rsidRPr="009E4715">
        <w:rPr>
          <w:rFonts w:eastAsia="Times New Roman"/>
          <w:snapToGrid w:val="0"/>
          <w:sz w:val="22"/>
          <w:lang w:eastAsia="pt-BR"/>
        </w:rPr>
        <w:t xml:space="preserve">2.3. Será admitida, em todas as etapas da licitação, a presença de, no máximo, um representante de cada proponente. </w:t>
      </w:r>
    </w:p>
    <w:p w:rsidR="00494E14" w:rsidRPr="009E4715" w:rsidRDefault="00494E14" w:rsidP="00494E1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  <w:r w:rsidRPr="009E4715">
        <w:rPr>
          <w:rFonts w:eastAsia="Times New Roman"/>
          <w:snapToGrid w:val="0"/>
          <w:sz w:val="22"/>
          <w:lang w:eastAsia="pt-BR"/>
        </w:rPr>
        <w:t>2.4. Somente poderão se manifestar no transcorrer da reunião, os representantes das proponentes, desde que devidamente credenciados.</w:t>
      </w:r>
    </w:p>
    <w:p w:rsidR="00494E14" w:rsidRPr="009E4715" w:rsidRDefault="00494E14" w:rsidP="00494E1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2"/>
          <w:lang w:eastAsia="pt-BR"/>
        </w:rPr>
      </w:pPr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>3-DA HABILITAÇÃO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firstLine="709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Para participar da presente licitação, os interessados deverão apresentar a seguinte documentação: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>3.1 Documentos Relativos à Regularidade Fiscal</w:t>
      </w:r>
    </w:p>
    <w:p w:rsidR="00494E14" w:rsidRPr="009E4715" w:rsidRDefault="00494E14" w:rsidP="00494E14">
      <w:pPr>
        <w:tabs>
          <w:tab w:val="left" w:pos="993"/>
        </w:tabs>
        <w:spacing w:before="0"/>
        <w:rPr>
          <w:rFonts w:eastAsia="Calibri"/>
          <w:sz w:val="22"/>
        </w:rPr>
      </w:pPr>
      <w:r w:rsidRPr="009E4715">
        <w:rPr>
          <w:rFonts w:eastAsia="Calibri"/>
          <w:sz w:val="22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494E14" w:rsidRPr="009E4715" w:rsidRDefault="00494E14" w:rsidP="00494E14">
      <w:pPr>
        <w:tabs>
          <w:tab w:val="left" w:pos="993"/>
        </w:tabs>
        <w:spacing w:before="0"/>
        <w:rPr>
          <w:rFonts w:eastAsia="Calibri"/>
          <w:sz w:val="22"/>
        </w:rPr>
      </w:pPr>
      <w:r w:rsidRPr="009E4715">
        <w:rPr>
          <w:rFonts w:eastAsia="Calibri"/>
          <w:sz w:val="22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494E14" w:rsidRPr="009E4715" w:rsidRDefault="00494E14" w:rsidP="00494E14">
      <w:pPr>
        <w:tabs>
          <w:tab w:val="left" w:pos="993"/>
        </w:tabs>
        <w:spacing w:before="0"/>
        <w:rPr>
          <w:rFonts w:eastAsia="Calibri"/>
          <w:sz w:val="22"/>
        </w:rPr>
      </w:pPr>
      <w:r w:rsidRPr="009E4715">
        <w:rPr>
          <w:rFonts w:eastAsia="Calibri"/>
          <w:sz w:val="22"/>
        </w:rPr>
        <w:t>c) Prova de regularidade com a Fazenda Municipal, mediante a apresentação da Certidão Negativa de Débito, emitida na jurisdição fiscal da sede da licitante;</w:t>
      </w:r>
    </w:p>
    <w:p w:rsidR="00494E14" w:rsidRPr="009E4715" w:rsidRDefault="00494E14" w:rsidP="00494E14">
      <w:pPr>
        <w:tabs>
          <w:tab w:val="left" w:pos="993"/>
        </w:tabs>
        <w:spacing w:before="0"/>
        <w:rPr>
          <w:rFonts w:eastAsia="Calibri"/>
          <w:sz w:val="22"/>
        </w:rPr>
      </w:pPr>
      <w:r w:rsidRPr="009E4715">
        <w:rPr>
          <w:rFonts w:eastAsia="Calibri"/>
          <w:sz w:val="22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>4 - DO RECEBIMENTO DAS PROPOSTAS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 xml:space="preserve">4.1. Para participar, as licitantes deverão apresentar, no local, dia e hora designados no preâmbulo deste, </w:t>
      </w:r>
      <w:proofErr w:type="gramStart"/>
      <w:r w:rsidRPr="009E4715">
        <w:rPr>
          <w:rFonts w:eastAsia="Times New Roman"/>
          <w:sz w:val="22"/>
          <w:lang w:eastAsia="pt-BR"/>
        </w:rPr>
        <w:t>2</w:t>
      </w:r>
      <w:proofErr w:type="gramEnd"/>
      <w:r w:rsidRPr="009E4715">
        <w:rPr>
          <w:rFonts w:eastAsia="Times New Roman"/>
          <w:sz w:val="22"/>
          <w:lang w:eastAsia="pt-BR"/>
        </w:rPr>
        <w:t xml:space="preserve"> (dois) envelopes distintos, que deverão estar fechados e indevassáveis, contendo na sua parte externa e frontal a seguinte inscrição: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>ENVELOPE Nº 01 = Documentação</w:t>
      </w:r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 xml:space="preserve">Ao Município de </w:t>
      </w:r>
      <w:proofErr w:type="spellStart"/>
      <w:r w:rsidRPr="009E4715">
        <w:rPr>
          <w:rFonts w:eastAsia="Times New Roman"/>
          <w:b/>
          <w:sz w:val="22"/>
          <w:lang w:eastAsia="pt-BR"/>
        </w:rPr>
        <w:t>Selbach</w:t>
      </w:r>
      <w:proofErr w:type="spellEnd"/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 xml:space="preserve">Edital de Convite nº </w:t>
      </w:r>
      <w:r w:rsidRPr="00494E14">
        <w:rPr>
          <w:rFonts w:eastAsia="Times New Roman"/>
          <w:b/>
          <w:sz w:val="22"/>
          <w:lang w:eastAsia="pt-BR"/>
        </w:rPr>
        <w:t>12</w:t>
      </w:r>
      <w:r w:rsidRPr="009E4715">
        <w:rPr>
          <w:rFonts w:eastAsia="Times New Roman"/>
          <w:b/>
          <w:sz w:val="22"/>
          <w:lang w:eastAsia="pt-BR"/>
        </w:rPr>
        <w:t>/</w:t>
      </w:r>
      <w:r w:rsidRPr="00494E14">
        <w:rPr>
          <w:rFonts w:eastAsia="Times New Roman"/>
          <w:b/>
          <w:sz w:val="22"/>
          <w:lang w:eastAsia="pt-BR"/>
        </w:rPr>
        <w:t>2020</w:t>
      </w:r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highlight w:val="yellow"/>
          <w:lang w:eastAsia="pt-BR"/>
        </w:rPr>
        <w:t>Razão Social da empresa licitante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lang w:eastAsia="pt-BR"/>
        </w:rPr>
      </w:pPr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>ENVELOPE N° 02 = Proposta Financeira</w:t>
      </w:r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 xml:space="preserve">Ao Município de </w:t>
      </w:r>
      <w:proofErr w:type="spellStart"/>
      <w:r w:rsidRPr="009E4715">
        <w:rPr>
          <w:rFonts w:eastAsia="Times New Roman"/>
          <w:b/>
          <w:sz w:val="22"/>
          <w:lang w:eastAsia="pt-BR"/>
        </w:rPr>
        <w:t>Selbach</w:t>
      </w:r>
      <w:proofErr w:type="spellEnd"/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 xml:space="preserve">Edital de Convite nº </w:t>
      </w:r>
      <w:r w:rsidRPr="00494E14">
        <w:rPr>
          <w:rFonts w:eastAsia="Times New Roman"/>
          <w:b/>
          <w:sz w:val="22"/>
          <w:lang w:eastAsia="pt-BR"/>
        </w:rPr>
        <w:t>12</w:t>
      </w:r>
      <w:r w:rsidRPr="009E4715">
        <w:rPr>
          <w:rFonts w:eastAsia="Times New Roman"/>
          <w:b/>
          <w:sz w:val="22"/>
          <w:lang w:eastAsia="pt-BR"/>
        </w:rPr>
        <w:t xml:space="preserve">/ </w:t>
      </w:r>
      <w:r w:rsidRPr="00494E14">
        <w:rPr>
          <w:rFonts w:eastAsia="Times New Roman"/>
          <w:b/>
          <w:sz w:val="22"/>
          <w:lang w:eastAsia="pt-BR"/>
        </w:rPr>
        <w:t>2020</w:t>
      </w:r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highlight w:val="yellow"/>
          <w:lang w:eastAsia="pt-BR"/>
        </w:rPr>
        <w:t>Razão Social da empresa licitante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lastRenderedPageBreak/>
        <w:t>4.2. O Envelope nº 01 deverá conter:</w:t>
      </w:r>
    </w:p>
    <w:p w:rsidR="00494E14" w:rsidRPr="009E4715" w:rsidRDefault="00494E14" w:rsidP="00494E14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A Documentação de Habilitação do item 3.1;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4.3. O envelope nº 02 deverá conter:</w:t>
      </w:r>
    </w:p>
    <w:p w:rsidR="00494E14" w:rsidRPr="009E4715" w:rsidRDefault="00494E14" w:rsidP="00494E1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Carta proposta do proponente constando o valor em Real, em uma via impressa, rubricada, datada e com assinatura do responsável e carimbo da empresa na última página. A proposta não pode apresentar emendas ou rasuras, acréscimos ou entrelinhas.</w:t>
      </w:r>
    </w:p>
    <w:p w:rsidR="00494E14" w:rsidRPr="009E4715" w:rsidRDefault="00494E14" w:rsidP="00494E1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 xml:space="preserve">Especificações e características detalhadas dos itens ofertados, de acordo com as especificações contidas no </w:t>
      </w:r>
      <w:r w:rsidRPr="009E4715">
        <w:rPr>
          <w:rFonts w:eastAsia="Times New Roman"/>
          <w:b/>
          <w:sz w:val="22"/>
          <w:lang w:eastAsia="pt-BR"/>
        </w:rPr>
        <w:t>ANEXO I</w:t>
      </w:r>
      <w:r w:rsidRPr="009E4715">
        <w:rPr>
          <w:rFonts w:eastAsia="Times New Roman"/>
          <w:sz w:val="22"/>
          <w:lang w:eastAsia="pt-BR"/>
        </w:rPr>
        <w:t xml:space="preserve"> deste edital, de modo que a Comissão Julgadora possa facilmente constatar que as especificações atendem ao objeto deste certame.</w:t>
      </w:r>
    </w:p>
    <w:p w:rsidR="00494E14" w:rsidRPr="009E4715" w:rsidRDefault="00494E14" w:rsidP="00494E1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 xml:space="preserve">Preço </w:t>
      </w:r>
      <w:r w:rsidRPr="009E4715">
        <w:rPr>
          <w:rFonts w:eastAsia="Times New Roman"/>
          <w:b/>
          <w:sz w:val="22"/>
          <w:lang w:eastAsia="pt-BR"/>
        </w:rPr>
        <w:t>UNITÁRIO</w:t>
      </w:r>
      <w:r w:rsidRPr="009E4715">
        <w:rPr>
          <w:rFonts w:eastAsia="Times New Roman"/>
          <w:sz w:val="22"/>
          <w:lang w:eastAsia="pt-BR"/>
        </w:rPr>
        <w:t xml:space="preserve"> e </w:t>
      </w:r>
      <w:r w:rsidRPr="009E4715">
        <w:rPr>
          <w:rFonts w:eastAsia="Times New Roman"/>
          <w:b/>
          <w:sz w:val="22"/>
          <w:lang w:eastAsia="pt-BR"/>
        </w:rPr>
        <w:t>TOTAL</w:t>
      </w:r>
      <w:r w:rsidRPr="009E4715">
        <w:rPr>
          <w:rFonts w:eastAsia="Times New Roman"/>
          <w:sz w:val="22"/>
          <w:lang w:eastAsia="pt-BR"/>
        </w:rPr>
        <w:t xml:space="preserve"> para cada item em separado.</w:t>
      </w:r>
    </w:p>
    <w:p w:rsidR="00494E14" w:rsidRPr="009E4715" w:rsidRDefault="00494E14" w:rsidP="00494E1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Razão Social completa da empresa, endereço atualizado, telefone/fax/e-mail (se houver);</w:t>
      </w:r>
    </w:p>
    <w:p w:rsidR="00494E14" w:rsidRPr="009E4715" w:rsidRDefault="00494E14" w:rsidP="00494E1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 xml:space="preserve">Prazo de validade da proposta, não inferior a (60) sessenta dias, </w:t>
      </w:r>
      <w:proofErr w:type="gramStart"/>
      <w:r w:rsidRPr="009E4715">
        <w:rPr>
          <w:rFonts w:eastAsia="Times New Roman"/>
          <w:sz w:val="22"/>
          <w:lang w:eastAsia="pt-BR"/>
        </w:rPr>
        <w:t>contados da data da abertura dos envelopes do presente certame licitatório</w:t>
      </w:r>
      <w:proofErr w:type="gramEnd"/>
      <w:r w:rsidRPr="009E4715">
        <w:rPr>
          <w:rFonts w:eastAsia="Times New Roman"/>
          <w:sz w:val="22"/>
          <w:lang w:eastAsia="pt-BR"/>
        </w:rPr>
        <w:t xml:space="preserve">. </w:t>
      </w:r>
    </w:p>
    <w:p w:rsidR="00494E14" w:rsidRPr="009E4715" w:rsidRDefault="00494E14" w:rsidP="00494E1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Nos preços cotados deverão já estar inclusos os impostos, taxas, fretes e demais despesas decorrentes da execução do objeto deste certame.</w:t>
      </w:r>
    </w:p>
    <w:p w:rsidR="00494E14" w:rsidRPr="009E4715" w:rsidRDefault="00494E14" w:rsidP="00494E14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 xml:space="preserve">Serão considerados, para fins de julgamento, os valores constantes no preço até, no máximo, </w:t>
      </w:r>
      <w:r w:rsidRPr="009E4715">
        <w:rPr>
          <w:rFonts w:eastAsia="Times New Roman"/>
          <w:b/>
          <w:bCs/>
          <w:sz w:val="22"/>
          <w:u w:val="single"/>
          <w:lang w:eastAsia="pt-BR"/>
        </w:rPr>
        <w:t>duas casas decimais após a vírgula,</w:t>
      </w:r>
      <w:r w:rsidRPr="009E4715">
        <w:rPr>
          <w:rFonts w:eastAsia="Times New Roman"/>
          <w:sz w:val="22"/>
          <w:lang w:eastAsia="pt-BR"/>
        </w:rPr>
        <w:t xml:space="preserve"> sendo desprezadas as demais, se houver, também em eventual contratação.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>5 - DA ABERTURA DOS ENVELOPES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5.1. A abertura dos envelopes de habilitação será efetuada no dia</w:t>
      </w:r>
      <w:r w:rsidRPr="009E4715">
        <w:rPr>
          <w:rFonts w:eastAsia="Times New Roman"/>
          <w:b/>
          <w:sz w:val="22"/>
          <w:lang w:eastAsia="pt-BR"/>
        </w:rPr>
        <w:t xml:space="preserve"> </w:t>
      </w:r>
      <w:r w:rsidRPr="00494E14">
        <w:rPr>
          <w:rFonts w:eastAsia="Times New Roman"/>
          <w:b/>
          <w:sz w:val="22"/>
          <w:lang w:eastAsia="pt-BR"/>
        </w:rPr>
        <w:t>09/09/2020</w:t>
      </w:r>
      <w:r w:rsidRPr="009E4715">
        <w:rPr>
          <w:rFonts w:eastAsia="Times New Roman"/>
          <w:sz w:val="22"/>
          <w:lang w:eastAsia="pt-BR"/>
        </w:rPr>
        <w:t xml:space="preserve">, às </w:t>
      </w:r>
      <w:proofErr w:type="gramStart"/>
      <w:r w:rsidRPr="00494E14">
        <w:rPr>
          <w:rFonts w:eastAsia="Times New Roman"/>
          <w:sz w:val="22"/>
          <w:lang w:eastAsia="pt-BR"/>
        </w:rPr>
        <w:t>08:30</w:t>
      </w:r>
      <w:proofErr w:type="gramEnd"/>
      <w:r w:rsidRPr="009E4715">
        <w:rPr>
          <w:rFonts w:eastAsia="Times New Roman"/>
          <w:sz w:val="22"/>
          <w:lang w:eastAsia="pt-BR"/>
        </w:rPr>
        <w:t xml:space="preserve">, na Sala de Reuniões e Licitações da Prefeitura Municipal, situada no Largo Adolfo Albino Werlang, nº 14, Bairro Centro, </w:t>
      </w:r>
      <w:proofErr w:type="spellStart"/>
      <w:r w:rsidRPr="009E4715">
        <w:rPr>
          <w:rFonts w:eastAsia="Times New Roman"/>
          <w:sz w:val="22"/>
          <w:lang w:eastAsia="pt-BR"/>
        </w:rPr>
        <w:t>Selbach</w:t>
      </w:r>
      <w:proofErr w:type="spellEnd"/>
      <w:r w:rsidRPr="009E4715">
        <w:rPr>
          <w:rFonts w:eastAsia="Times New Roman"/>
          <w:sz w:val="22"/>
          <w:lang w:eastAsia="pt-BR"/>
        </w:rPr>
        <w:t xml:space="preserve">/RS. 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lang w:eastAsia="pt-BR"/>
        </w:rPr>
      </w:pPr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>6 - DO JULGAMENTO DAS PROPOSTAS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 xml:space="preserve">6.1. As propostas, apresentadas de acordo com as especificações e exigências deste Convite, serão julgadas pelo </w:t>
      </w:r>
      <w:r w:rsidRPr="00494E14">
        <w:rPr>
          <w:rFonts w:eastAsia="Times New Roman"/>
          <w:sz w:val="22"/>
          <w:lang w:eastAsia="pt-BR"/>
        </w:rPr>
        <w:t>Menor preço - Unitário</w:t>
      </w:r>
      <w:r w:rsidRPr="009E4715">
        <w:rPr>
          <w:rFonts w:eastAsia="Times New Roman"/>
          <w:sz w:val="22"/>
          <w:lang w:eastAsia="pt-BR"/>
        </w:rPr>
        <w:t xml:space="preserve"> e classificadas pela ordem crescente dos preços propostos, respeitado o critério de aceitabilidade dos preços.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6.2. Esta licitação será processada e julgada com observância do previsto nos artigos 43 e 44 e seus incisos e parágrafos da Lei 8.666/93.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6.3. Em caso de empate entre duas ou mais propostas será utilizado sorteio em ato público com a convocação prévia de todos os licitantes, nos termos § 2º do art. 45 da Lei 8.666/93 e posteriores alterações.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>7- DAS CONDIÇÕES DE PAGAMENTO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 xml:space="preserve">7.1. O pagamento será efetuado </w:t>
      </w:r>
      <w:r>
        <w:rPr>
          <w:rFonts w:eastAsia="Times New Roman"/>
          <w:sz w:val="22"/>
          <w:lang w:eastAsia="pt-BR"/>
        </w:rPr>
        <w:t>à</w:t>
      </w:r>
      <w:r w:rsidRPr="00494E14">
        <w:rPr>
          <w:rFonts w:eastAsia="Times New Roman"/>
          <w:sz w:val="22"/>
          <w:lang w:eastAsia="pt-BR"/>
        </w:rPr>
        <w:t xml:space="preserve"> vista após a entrega dos produtos</w:t>
      </w:r>
      <w:r w:rsidRPr="009E4715">
        <w:rPr>
          <w:rFonts w:eastAsia="Times New Roman"/>
          <w:sz w:val="22"/>
          <w:lang w:eastAsia="pt-BR"/>
        </w:rPr>
        <w:t>.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7.2. A nota fiscal e fatura deverá ser emitida pela mesma empresa (razão social e CNPJ) que se habilitou e apresentou a proposta financeira para este processo.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>8- DOS RECURSOS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 xml:space="preserve"> </w:t>
      </w:r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t>9 - DAS PENALIDADES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9.1.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494E14" w:rsidRPr="009E4715" w:rsidRDefault="00494E14" w:rsidP="00494E1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Advertência por escrito, quando se tratar de pequena irregularidade;</w:t>
      </w:r>
    </w:p>
    <w:p w:rsidR="00494E14" w:rsidRPr="009E4715" w:rsidRDefault="00494E14" w:rsidP="00494E1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 xml:space="preserve">Suspensão temporária de participação em licitações e impedimento de contratar com o Município de </w:t>
      </w:r>
      <w:proofErr w:type="spellStart"/>
      <w:r w:rsidRPr="009E4715">
        <w:rPr>
          <w:rFonts w:eastAsia="Times New Roman"/>
          <w:sz w:val="22"/>
          <w:lang w:eastAsia="pt-BR"/>
        </w:rPr>
        <w:t>Selbach</w:t>
      </w:r>
      <w:proofErr w:type="spellEnd"/>
      <w:r w:rsidRPr="009E4715">
        <w:rPr>
          <w:rFonts w:eastAsia="Times New Roman"/>
          <w:sz w:val="22"/>
          <w:lang w:eastAsia="pt-BR"/>
        </w:rPr>
        <w:t>, por prazo não superior a 02(dois) anos;</w:t>
      </w:r>
    </w:p>
    <w:p w:rsidR="00494E14" w:rsidRPr="009E4715" w:rsidRDefault="00494E14" w:rsidP="00494E1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 xml:space="preserve"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9E4715">
        <w:rPr>
          <w:rFonts w:eastAsia="Times New Roman"/>
          <w:sz w:val="22"/>
          <w:lang w:eastAsia="pt-BR"/>
        </w:rPr>
        <w:t>após</w:t>
      </w:r>
      <w:proofErr w:type="gramEnd"/>
      <w:r w:rsidRPr="009E4715">
        <w:rPr>
          <w:rFonts w:eastAsia="Times New Roman"/>
          <w:sz w:val="22"/>
          <w:lang w:eastAsia="pt-BR"/>
        </w:rPr>
        <w:t xml:space="preserve"> decorrido o prazo da sanção aplicada com base no inciso anterior.</w:t>
      </w:r>
    </w:p>
    <w:p w:rsidR="00494E14" w:rsidRPr="009E4715" w:rsidRDefault="00494E14" w:rsidP="00494E1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lastRenderedPageBreak/>
        <w:t xml:space="preserve">Multa de 1% (um por cento) sobre o valor proposto, por dia, em caso de descumprimento do prazo de entrega limitada </w:t>
      </w:r>
      <w:proofErr w:type="gramStart"/>
      <w:r w:rsidRPr="009E4715">
        <w:rPr>
          <w:rFonts w:eastAsia="Times New Roman"/>
          <w:sz w:val="22"/>
          <w:lang w:eastAsia="pt-BR"/>
        </w:rPr>
        <w:t>a</w:t>
      </w:r>
      <w:proofErr w:type="gramEnd"/>
      <w:r w:rsidRPr="009E4715">
        <w:rPr>
          <w:rFonts w:eastAsia="Times New Roman"/>
          <w:sz w:val="22"/>
          <w:lang w:eastAsia="pt-BR"/>
        </w:rPr>
        <w:t xml:space="preserve"> dez dias. Após o período de dez dias, será considerado o descumprimento contratual, aplicando-se multa de 10% (dez por cento) e sujeitando-se às penas dos itens b e c.</w:t>
      </w:r>
    </w:p>
    <w:p w:rsidR="00494E14" w:rsidRPr="009E4715" w:rsidRDefault="00494E14" w:rsidP="00494E1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 xml:space="preserve">Multa de 10% para os casos de descumprimento contratual, fraude à execução, não manutenção da proposta, além das penas dos itens b e c. </w:t>
      </w:r>
    </w:p>
    <w:p w:rsidR="00494E14" w:rsidRDefault="00494E14" w:rsidP="00494E1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Em caso de multa, é assegurado ao Município, o direito de deduzir o valor das mesmas de qualquer pagamento a que fizer jus a empresa vencedora, ou por via judicial.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left="360"/>
        <w:jc w:val="left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2"/>
          <w:lang w:eastAsia="pt-BR"/>
        </w:rPr>
      </w:pPr>
      <w:proofErr w:type="gramStart"/>
      <w:r w:rsidRPr="009E4715">
        <w:rPr>
          <w:rFonts w:eastAsia="Times New Roman"/>
          <w:b/>
          <w:sz w:val="22"/>
          <w:lang w:eastAsia="pt-BR"/>
        </w:rPr>
        <w:t>10 - DOTAÇÃO</w:t>
      </w:r>
      <w:proofErr w:type="gramEnd"/>
      <w:r w:rsidRPr="009E4715">
        <w:rPr>
          <w:rFonts w:eastAsia="Times New Roman"/>
          <w:b/>
          <w:sz w:val="22"/>
          <w:lang w:eastAsia="pt-BR"/>
        </w:rPr>
        <w:t xml:space="preserve"> ORÇAMENTÁRIA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 xml:space="preserve">As despesas decorrentes deste Convite correrão à conta da(s) seguinte(s) </w:t>
      </w:r>
      <w:proofErr w:type="gramStart"/>
      <w:r w:rsidRPr="009E4715">
        <w:rPr>
          <w:rFonts w:eastAsia="Times New Roman"/>
          <w:sz w:val="22"/>
          <w:lang w:eastAsia="pt-BR"/>
        </w:rPr>
        <w:t>dotação(</w:t>
      </w:r>
      <w:proofErr w:type="gramEnd"/>
      <w:r w:rsidRPr="009E4715">
        <w:rPr>
          <w:rFonts w:eastAsia="Times New Roman"/>
          <w:sz w:val="22"/>
          <w:lang w:eastAsia="pt-BR"/>
        </w:rPr>
        <w:t>es) orçamentária(s):</w:t>
      </w:r>
    </w:p>
    <w:p w:rsidR="00494E14" w:rsidRPr="00494E14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proofErr w:type="gramStart"/>
      <w:r w:rsidRPr="00494E14">
        <w:rPr>
          <w:rFonts w:eastAsia="Times New Roman"/>
          <w:i/>
          <w:sz w:val="22"/>
          <w:lang w:eastAsia="pt-BR"/>
        </w:rPr>
        <w:t>05 – SECRETARIA</w:t>
      </w:r>
      <w:proofErr w:type="gramEnd"/>
      <w:r w:rsidRPr="00494E14">
        <w:rPr>
          <w:rFonts w:eastAsia="Times New Roman"/>
          <w:i/>
          <w:sz w:val="22"/>
          <w:lang w:eastAsia="pt-BR"/>
        </w:rPr>
        <w:t xml:space="preserve"> MUNICIPAL DE SAÚDE</w:t>
      </w:r>
    </w:p>
    <w:p w:rsidR="00494E14" w:rsidRPr="00494E14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proofErr w:type="gramStart"/>
      <w:r w:rsidRPr="00494E14">
        <w:rPr>
          <w:rFonts w:eastAsia="Times New Roman"/>
          <w:i/>
          <w:sz w:val="22"/>
          <w:lang w:eastAsia="pt-BR"/>
        </w:rPr>
        <w:t>02 – COORDENADORIA</w:t>
      </w:r>
      <w:proofErr w:type="gramEnd"/>
      <w:r w:rsidRPr="00494E14">
        <w:rPr>
          <w:rFonts w:eastAsia="Times New Roman"/>
          <w:i/>
          <w:sz w:val="22"/>
          <w:lang w:eastAsia="pt-BR"/>
        </w:rPr>
        <w:t xml:space="preserve"> DE SAÚDE</w:t>
      </w:r>
    </w:p>
    <w:p w:rsidR="00494E14" w:rsidRPr="00494E14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proofErr w:type="gramStart"/>
      <w:r w:rsidRPr="00494E14">
        <w:rPr>
          <w:rFonts w:eastAsia="Times New Roman"/>
          <w:i/>
          <w:sz w:val="22"/>
          <w:lang w:eastAsia="pt-BR"/>
        </w:rPr>
        <w:t>1030101091118000 – Programa</w:t>
      </w:r>
      <w:proofErr w:type="gramEnd"/>
      <w:r w:rsidRPr="00494E14">
        <w:rPr>
          <w:rFonts w:eastAsia="Times New Roman"/>
          <w:i/>
          <w:sz w:val="22"/>
          <w:lang w:eastAsia="pt-BR"/>
        </w:rPr>
        <w:t xml:space="preserve"> de Incentivo a Atenção Básica – Recurso Estadual</w:t>
      </w:r>
    </w:p>
    <w:p w:rsidR="00494E14" w:rsidRPr="00494E14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proofErr w:type="gramStart"/>
      <w:r w:rsidRPr="00494E14">
        <w:rPr>
          <w:rFonts w:eastAsia="Times New Roman"/>
          <w:i/>
          <w:sz w:val="22"/>
          <w:lang w:eastAsia="pt-BR"/>
        </w:rPr>
        <w:t>44905200.0000 – Equipamento</w:t>
      </w:r>
      <w:proofErr w:type="gramEnd"/>
      <w:r w:rsidRPr="00494E14">
        <w:rPr>
          <w:rFonts w:eastAsia="Times New Roman"/>
          <w:i/>
          <w:sz w:val="22"/>
          <w:lang w:eastAsia="pt-BR"/>
        </w:rPr>
        <w:t xml:space="preserve"> e Material Permanente (726)</w:t>
      </w:r>
    </w:p>
    <w:p w:rsidR="00494E14" w:rsidRPr="00494E14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i/>
          <w:sz w:val="22"/>
          <w:lang w:eastAsia="pt-BR"/>
        </w:rPr>
      </w:pPr>
      <w:r w:rsidRPr="00494E14">
        <w:rPr>
          <w:rFonts w:eastAsia="Times New Roman"/>
          <w:i/>
          <w:sz w:val="22"/>
          <w:lang w:eastAsia="pt-BR"/>
        </w:rPr>
        <w:t>Código Reduzido: 5863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 xml:space="preserve">10.1 </w:t>
      </w:r>
      <w:proofErr w:type="gramStart"/>
      <w:r w:rsidRPr="009E4715">
        <w:rPr>
          <w:rFonts w:eastAsia="Times New Roman"/>
          <w:sz w:val="22"/>
          <w:lang w:eastAsia="pt-BR"/>
        </w:rPr>
        <w:t>É</w:t>
      </w:r>
      <w:proofErr w:type="gramEnd"/>
      <w:r w:rsidRPr="009E4715">
        <w:rPr>
          <w:rFonts w:eastAsia="Times New Roman"/>
          <w:sz w:val="22"/>
          <w:lang w:eastAsia="pt-BR"/>
        </w:rPr>
        <w:t xml:space="preserve">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10.2. Fica eleito o Foro do Município de Tapera/RS, para dirimir eventuais procedimentos judiciais que possam surgir no decurso deste Certame.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lang w:eastAsia="pt-BR"/>
        </w:rPr>
      </w:pPr>
      <w:proofErr w:type="spellStart"/>
      <w:r w:rsidRPr="009E4715">
        <w:rPr>
          <w:rFonts w:eastAsia="Times New Roman"/>
          <w:sz w:val="22"/>
          <w:lang w:eastAsia="pt-BR"/>
        </w:rPr>
        <w:t>Selbach</w:t>
      </w:r>
      <w:proofErr w:type="spellEnd"/>
      <w:r w:rsidRPr="009E4715">
        <w:rPr>
          <w:rFonts w:eastAsia="Times New Roman"/>
          <w:sz w:val="22"/>
          <w:lang w:eastAsia="pt-BR"/>
        </w:rPr>
        <w:t xml:space="preserve">, </w:t>
      </w:r>
      <w:r w:rsidRPr="00494E14">
        <w:rPr>
          <w:rFonts w:eastAsia="Times New Roman"/>
          <w:sz w:val="22"/>
          <w:lang w:eastAsia="pt-BR"/>
        </w:rPr>
        <w:t>26 de agosto de 2020</w:t>
      </w:r>
      <w:r w:rsidRPr="009E4715">
        <w:rPr>
          <w:rFonts w:eastAsia="Times New Roman"/>
          <w:sz w:val="22"/>
          <w:lang w:eastAsia="pt-BR"/>
        </w:rPr>
        <w:t>.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SERGIO ADEMIR KUHN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  <w:r w:rsidRPr="009E4715">
        <w:rPr>
          <w:rFonts w:eastAsia="Times New Roman"/>
          <w:sz w:val="22"/>
          <w:lang w:eastAsia="pt-BR"/>
        </w:rPr>
        <w:t>Prefeito Municipal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2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2"/>
          <w:u w:val="single"/>
          <w:lang w:eastAsia="pt-BR"/>
        </w:rPr>
      </w:pP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  <w:r w:rsidRPr="009E4715">
        <w:rPr>
          <w:rFonts w:eastAsia="Times New Roman"/>
          <w:b/>
          <w:sz w:val="22"/>
          <w:lang w:eastAsia="pt-BR"/>
        </w:rPr>
        <w:lastRenderedPageBreak/>
        <w:t>ANEXO I – ESPECIFICAÇÕES</w:t>
      </w:r>
    </w:p>
    <w:p w:rsidR="00494E14" w:rsidRPr="009E4715" w:rsidRDefault="00494E14" w:rsidP="00494E14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2"/>
        <w:gridCol w:w="850"/>
        <w:gridCol w:w="709"/>
        <w:gridCol w:w="1276"/>
        <w:gridCol w:w="1307"/>
      </w:tblGrid>
      <w:tr w:rsidR="00494E14" w:rsidRPr="009E4715" w:rsidTr="001E4A44">
        <w:tc>
          <w:tcPr>
            <w:tcW w:w="675" w:type="dxa"/>
          </w:tcPr>
          <w:p w:rsidR="00494E14" w:rsidRPr="009E4715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9E4715">
              <w:rPr>
                <w:rFonts w:eastAsia="Times New Roman"/>
                <w:b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5102" w:type="dxa"/>
          </w:tcPr>
          <w:p w:rsidR="00494E14" w:rsidRPr="009E4715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9E4715">
              <w:rPr>
                <w:rFonts w:eastAsia="Times New Roman"/>
                <w:b/>
                <w:color w:val="000000"/>
                <w:sz w:val="22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494E14" w:rsidRPr="009E4715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9E4715">
              <w:rPr>
                <w:rFonts w:eastAsia="Times New Roman"/>
                <w:b/>
                <w:color w:val="000000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709" w:type="dxa"/>
          </w:tcPr>
          <w:p w:rsidR="00494E14" w:rsidRPr="009E4715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9E4715">
              <w:rPr>
                <w:rFonts w:eastAsia="Times New Roman"/>
                <w:b/>
                <w:color w:val="000000"/>
                <w:sz w:val="22"/>
                <w:lang w:eastAsia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494E14" w:rsidRPr="009E4715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9E4715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9E4715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Unit</w:t>
            </w:r>
          </w:p>
        </w:tc>
        <w:tc>
          <w:tcPr>
            <w:tcW w:w="1307" w:type="dxa"/>
          </w:tcPr>
          <w:p w:rsidR="00494E14" w:rsidRPr="009E4715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9E4715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9E4715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Total</w:t>
            </w:r>
          </w:p>
        </w:tc>
      </w:tr>
      <w:tr w:rsidR="00494E14" w:rsidRPr="009E4715" w:rsidTr="001E4A44">
        <w:trPr>
          <w:trHeight w:val="737"/>
        </w:trPr>
        <w:tc>
          <w:tcPr>
            <w:tcW w:w="675" w:type="dxa"/>
          </w:tcPr>
          <w:p w:rsidR="00494E14" w:rsidRPr="009E4715" w:rsidRDefault="001E4A4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5102" w:type="dxa"/>
          </w:tcPr>
          <w:p w:rsidR="00494E14" w:rsidRPr="009E4715" w:rsidRDefault="001E4A4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 xml:space="preserve">NOTEBOOK, PROCESSADOR CORE I5, 8GB DE MEMÓRIA RAM, HD </w:t>
            </w:r>
            <w:proofErr w:type="gramStart"/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1</w:t>
            </w:r>
            <w:proofErr w:type="gramEnd"/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 xml:space="preserve"> TB, TELA LED 15.6, WINDOWS 10</w:t>
            </w:r>
          </w:p>
        </w:tc>
        <w:tc>
          <w:tcPr>
            <w:tcW w:w="850" w:type="dxa"/>
          </w:tcPr>
          <w:p w:rsidR="00494E14" w:rsidRPr="009E4715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709" w:type="dxa"/>
          </w:tcPr>
          <w:p w:rsidR="00494E14" w:rsidRPr="009E4715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1,0</w:t>
            </w:r>
          </w:p>
        </w:tc>
        <w:tc>
          <w:tcPr>
            <w:tcW w:w="1276" w:type="dxa"/>
          </w:tcPr>
          <w:p w:rsidR="00494E14" w:rsidRPr="009E4715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494E14" w:rsidRPr="009E4715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494E14" w:rsidRPr="00494E14" w:rsidTr="001E4A44">
        <w:trPr>
          <w:trHeight w:val="737"/>
        </w:trPr>
        <w:tc>
          <w:tcPr>
            <w:tcW w:w="675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5102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ESTABILIZADOR</w:t>
            </w:r>
            <w:r>
              <w:rPr>
                <w:rFonts w:eastAsia="Times New Roman"/>
                <w:color w:val="000000"/>
                <w:sz w:val="22"/>
                <w:lang w:eastAsia="pt-BR"/>
              </w:rPr>
              <w:t xml:space="preserve"> 1000 VA</w:t>
            </w:r>
          </w:p>
        </w:tc>
        <w:tc>
          <w:tcPr>
            <w:tcW w:w="850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709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2,0</w:t>
            </w:r>
          </w:p>
        </w:tc>
        <w:tc>
          <w:tcPr>
            <w:tcW w:w="1276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494E14" w:rsidRPr="00494E14" w:rsidTr="001E4A44">
        <w:trPr>
          <w:trHeight w:val="737"/>
        </w:trPr>
        <w:tc>
          <w:tcPr>
            <w:tcW w:w="675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5102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TECLADO PADRÃO USB</w:t>
            </w:r>
            <w:r>
              <w:rPr>
                <w:rFonts w:eastAsia="Times New Roman"/>
                <w:color w:val="000000"/>
                <w:sz w:val="22"/>
                <w:lang w:eastAsia="pt-BR"/>
              </w:rPr>
              <w:t xml:space="preserve"> COM FIO</w:t>
            </w:r>
          </w:p>
        </w:tc>
        <w:tc>
          <w:tcPr>
            <w:tcW w:w="850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709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4,0</w:t>
            </w:r>
          </w:p>
        </w:tc>
        <w:tc>
          <w:tcPr>
            <w:tcW w:w="1276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494E14" w:rsidRPr="00494E14" w:rsidTr="001E4A44">
        <w:trPr>
          <w:trHeight w:val="737"/>
        </w:trPr>
        <w:tc>
          <w:tcPr>
            <w:tcW w:w="675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4</w:t>
            </w:r>
            <w:proofErr w:type="gramEnd"/>
          </w:p>
        </w:tc>
        <w:tc>
          <w:tcPr>
            <w:tcW w:w="5102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lang w:eastAsia="pt-BR"/>
              </w:rPr>
              <w:t xml:space="preserve">Mouse USB 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pt-BR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2"/>
                <w:lang w:eastAsia="pt-BR"/>
              </w:rPr>
              <w:t xml:space="preserve"> BOTÕES COM SCR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lang w:eastAsia="pt-BR"/>
              </w:rPr>
              <w:t>OOL</w:t>
            </w:r>
          </w:p>
        </w:tc>
        <w:tc>
          <w:tcPr>
            <w:tcW w:w="850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709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6,0</w:t>
            </w:r>
          </w:p>
        </w:tc>
        <w:tc>
          <w:tcPr>
            <w:tcW w:w="1276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  <w:tr w:rsidR="00494E14" w:rsidRPr="00494E14" w:rsidTr="001E4A44">
        <w:trPr>
          <w:trHeight w:val="1984"/>
        </w:trPr>
        <w:tc>
          <w:tcPr>
            <w:tcW w:w="675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proofErr w:type="gramStart"/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5</w:t>
            </w:r>
            <w:proofErr w:type="gramEnd"/>
          </w:p>
        </w:tc>
        <w:tc>
          <w:tcPr>
            <w:tcW w:w="5102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color w:val="000000"/>
                <w:sz w:val="22"/>
                <w:lang w:eastAsia="pt-BR"/>
              </w:rPr>
              <w:t xml:space="preserve">TABLET, SISTEMA OPERACIONAL ANDROID, PROCESSADOR QUAD-CORE 1.4 GHZ, TELA LCD, TAMANHO DO DISPLAY 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pt-BR"/>
              </w:rPr>
              <w:t>8</w:t>
            </w:r>
            <w:proofErr w:type="gramEnd"/>
            <w:r>
              <w:rPr>
                <w:rFonts w:eastAsia="Times New Roman"/>
                <w:color w:val="000000"/>
                <w:sz w:val="22"/>
                <w:lang w:eastAsia="pt-BR"/>
              </w:rPr>
              <w:t xml:space="preserve">”, RESOLUÇÃO 1280X800, CONEXÃO 4G, MEMÓRIA INTERNA </w:t>
            </w:r>
            <w:r w:rsidR="001E4A44">
              <w:rPr>
                <w:rFonts w:eastAsia="Times New Roman"/>
                <w:color w:val="000000"/>
                <w:sz w:val="22"/>
                <w:lang w:eastAsia="pt-BR"/>
              </w:rPr>
              <w:t>16GB, EXPANSIVO MICRO SD ATÉ 200GB, MEMÓRIA RAM 2GB, CÂMERA TRASEIRA 8MP, CÂMERA FRONTAL 5MP, FUNÇÃO TELEFONE, GPS, ENTRADAS USB 2.0</w:t>
            </w:r>
          </w:p>
        </w:tc>
        <w:tc>
          <w:tcPr>
            <w:tcW w:w="850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UN</w:t>
            </w:r>
          </w:p>
        </w:tc>
        <w:tc>
          <w:tcPr>
            <w:tcW w:w="709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  <w:r w:rsidRPr="00494E14">
              <w:rPr>
                <w:rFonts w:eastAsia="Times New Roman"/>
                <w:color w:val="000000"/>
                <w:sz w:val="22"/>
                <w:lang w:eastAsia="pt-BR"/>
              </w:rPr>
              <w:t>1,0</w:t>
            </w:r>
          </w:p>
        </w:tc>
        <w:tc>
          <w:tcPr>
            <w:tcW w:w="1276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  <w:tc>
          <w:tcPr>
            <w:tcW w:w="1307" w:type="dxa"/>
          </w:tcPr>
          <w:p w:rsidR="00494E14" w:rsidRPr="00494E14" w:rsidRDefault="00494E14" w:rsidP="00494E14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2"/>
                <w:lang w:eastAsia="pt-BR"/>
              </w:rPr>
            </w:pPr>
          </w:p>
        </w:tc>
      </w:tr>
    </w:tbl>
    <w:p w:rsidR="00494E14" w:rsidRPr="009E4715" w:rsidRDefault="00494E14" w:rsidP="00494E14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color w:val="000000"/>
          <w:sz w:val="22"/>
          <w:lang w:eastAsia="pt-BR"/>
        </w:rPr>
      </w:pPr>
    </w:p>
    <w:p w:rsidR="00494E14" w:rsidRPr="00494E14" w:rsidRDefault="00494E14" w:rsidP="00494E14">
      <w:pPr>
        <w:spacing w:before="0"/>
        <w:rPr>
          <w:sz w:val="22"/>
        </w:rPr>
      </w:pPr>
    </w:p>
    <w:p w:rsidR="00E46BBC" w:rsidRPr="00494E14" w:rsidRDefault="00E46BBC" w:rsidP="00494E14">
      <w:pPr>
        <w:spacing w:before="0"/>
        <w:rPr>
          <w:sz w:val="22"/>
        </w:rPr>
      </w:pPr>
    </w:p>
    <w:sectPr w:rsidR="00E46BBC" w:rsidRPr="00494E14" w:rsidSect="00494E14">
      <w:headerReference w:type="default" r:id="rId8"/>
      <w:footerReference w:type="even" r:id="rId9"/>
      <w:footerReference w:type="default" r:id="rId10"/>
      <w:pgSz w:w="11907" w:h="16840" w:code="9"/>
      <w:pgMar w:top="1701" w:right="850" w:bottom="709" w:left="1134" w:header="142" w:footer="3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B2" w:rsidRDefault="006B6BB2" w:rsidP="00494E14">
      <w:pPr>
        <w:spacing w:before="0"/>
      </w:pPr>
      <w:r>
        <w:separator/>
      </w:r>
    </w:p>
  </w:endnote>
  <w:endnote w:type="continuationSeparator" w:id="0">
    <w:p w:rsidR="006B6BB2" w:rsidRDefault="006B6BB2" w:rsidP="00494E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6B6BB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6B6B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6B6BB2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1E4A44">
      <w:rPr>
        <w:rStyle w:val="Nmerodepgina"/>
        <w:noProof/>
        <w:sz w:val="16"/>
      </w:rPr>
      <w:t>4</w:t>
    </w:r>
    <w:r>
      <w:rPr>
        <w:rStyle w:val="Nmerodepgina"/>
        <w:sz w:val="16"/>
      </w:rPr>
      <w:fldChar w:fldCharType="end"/>
    </w:r>
  </w:p>
  <w:p w:rsidR="00654B05" w:rsidRDefault="006B6BB2" w:rsidP="00494E14">
    <w:pPr>
      <w:pStyle w:val="Rodap"/>
      <w:tabs>
        <w:tab w:val="right" w:pos="8222"/>
      </w:tabs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B2" w:rsidRDefault="006B6BB2" w:rsidP="00494E14">
      <w:pPr>
        <w:spacing w:before="0"/>
      </w:pPr>
      <w:r>
        <w:separator/>
      </w:r>
    </w:p>
  </w:footnote>
  <w:footnote w:type="continuationSeparator" w:id="0">
    <w:p w:rsidR="006B6BB2" w:rsidRDefault="006B6BB2" w:rsidP="00494E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CC" w:rsidRDefault="006B6BB2" w:rsidP="00BF710C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D7A93D" wp14:editId="69844F5E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6B6BB2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6B6BB2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961C9E" w:rsidRDefault="006B6BB2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6B6BB2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6B6BB2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6B6B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14"/>
    <w:rsid w:val="001E4A44"/>
    <w:rsid w:val="00494E14"/>
    <w:rsid w:val="006B6BB2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94E14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94E1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94E14"/>
  </w:style>
  <w:style w:type="paragraph" w:styleId="Cabealho">
    <w:name w:val="header"/>
    <w:basedOn w:val="Normal"/>
    <w:link w:val="CabealhoChar"/>
    <w:uiPriority w:val="99"/>
    <w:rsid w:val="00494E1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94E1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94E14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94E1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94E14"/>
  </w:style>
  <w:style w:type="paragraph" w:styleId="Cabealho">
    <w:name w:val="header"/>
    <w:basedOn w:val="Normal"/>
    <w:link w:val="CabealhoChar"/>
    <w:uiPriority w:val="99"/>
    <w:rsid w:val="00494E1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94E1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 Garagem</dc:creator>
  <cp:lastModifiedBy>Prefa Garagem</cp:lastModifiedBy>
  <cp:revision>1</cp:revision>
  <dcterms:created xsi:type="dcterms:W3CDTF">2020-08-26T16:55:00Z</dcterms:created>
  <dcterms:modified xsi:type="dcterms:W3CDTF">2020-08-26T17:10:00Z</dcterms:modified>
</cp:coreProperties>
</file>